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A4C1FB4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05738B">
        <w:rPr>
          <w:rFonts w:ascii="Arial" w:hAnsi="Arial" w:cs="Arial"/>
          <w:b/>
          <w:sz w:val="24"/>
          <w:szCs w:val="28"/>
          <w:lang w:val="en-US"/>
        </w:rPr>
        <w:t>07154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4259D301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268EA">
        <w:rPr>
          <w:rFonts w:ascii="Arial" w:hAnsi="Arial" w:cs="Arial"/>
          <w:sz w:val="22"/>
          <w:szCs w:val="22"/>
          <w:lang w:val="en-US"/>
        </w:rPr>
        <w:t>5.</w:t>
      </w:r>
      <w:r w:rsidR="002518FA">
        <w:rPr>
          <w:rFonts w:ascii="Arial" w:hAnsi="Arial" w:cs="Arial"/>
          <w:sz w:val="22"/>
          <w:szCs w:val="22"/>
          <w:lang w:val="en-US"/>
        </w:rPr>
        <w:t>6</w:t>
      </w:r>
      <w:r w:rsidR="004268EA">
        <w:rPr>
          <w:rFonts w:ascii="Arial" w:hAnsi="Arial" w:cs="Arial"/>
          <w:sz w:val="22"/>
          <w:szCs w:val="22"/>
          <w:lang w:val="en-US"/>
        </w:rPr>
        <w:t>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07EFFD18" w14:textId="3713D71E" w:rsidR="004268EA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2518FA" w:rsidRPr="002518FA">
        <w:rPr>
          <w:rFonts w:ascii="Arial" w:hAnsi="Arial" w:cs="Arial"/>
          <w:sz w:val="22"/>
          <w:szCs w:val="22"/>
        </w:rPr>
        <w:t>Analysis of RRC based BWP switch on multiple CCs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5693D5E1" w14:textId="237A5BAA" w:rsidR="00634EF6" w:rsidRDefault="001F21F1" w:rsidP="005D3BC5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sent LS to RAN2 </w:t>
      </w:r>
      <w:r w:rsidR="00634EF6">
        <w:rPr>
          <w:sz w:val="22"/>
          <w:szCs w:val="22"/>
          <w:lang w:val="en-US"/>
        </w:rPr>
        <w:t xml:space="preserve">asking for feedback on whether RRC based active BWP switching is supported also for </w:t>
      </w:r>
      <w:proofErr w:type="spellStart"/>
      <w:r w:rsidR="00634EF6">
        <w:rPr>
          <w:sz w:val="22"/>
          <w:szCs w:val="22"/>
          <w:lang w:val="en-US"/>
        </w:rPr>
        <w:t>SCells</w:t>
      </w:r>
      <w:proofErr w:type="spellEnd"/>
      <w:r w:rsidR="00634EF6">
        <w:rPr>
          <w:sz w:val="22"/>
          <w:szCs w:val="22"/>
          <w:lang w:val="en-US"/>
        </w:rPr>
        <w:t xml:space="preserve"> or not</w:t>
      </w:r>
      <w:r w:rsidR="005D3BC5" w:rsidRPr="005F4331">
        <w:rPr>
          <w:sz w:val="22"/>
          <w:szCs w:val="22"/>
          <w:lang w:val="en-US"/>
        </w:rPr>
        <w:t>.</w:t>
      </w:r>
      <w:r w:rsidR="00634EF6">
        <w:rPr>
          <w:sz w:val="22"/>
          <w:szCs w:val="22"/>
          <w:lang w:val="en-US"/>
        </w:rPr>
        <w:t xml:space="preserve"> Further work including test cases for RRC based active BWP switching for single CC and multiple CCs has on hold.</w:t>
      </w:r>
    </w:p>
    <w:p w14:paraId="1A1794EE" w14:textId="429B015E" w:rsidR="005D3BC5" w:rsidRPr="005D3BC5" w:rsidRDefault="00634EF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</w:t>
      </w:r>
      <w:proofErr w:type="spellStart"/>
      <w:r>
        <w:rPr>
          <w:sz w:val="22"/>
          <w:szCs w:val="22"/>
          <w:lang w:val="en-US"/>
        </w:rPr>
        <w:t>non</w:t>
      </w:r>
      <w:proofErr w:type="spellEnd"/>
      <w:r>
        <w:rPr>
          <w:sz w:val="22"/>
          <w:szCs w:val="22"/>
          <w:lang w:val="en-US"/>
        </w:rPr>
        <w:t xml:space="preserve"> received the LS response from RAN2 providing responses to RAN4 questions. In the light of the RAN2 response LS we further </w:t>
      </w:r>
      <w:r w:rsidR="005D0932">
        <w:rPr>
          <w:sz w:val="22"/>
          <w:szCs w:val="22"/>
          <w:lang w:val="en-US"/>
        </w:rPr>
        <w:t>analyz</w:t>
      </w:r>
      <w:r>
        <w:rPr>
          <w:sz w:val="22"/>
          <w:szCs w:val="22"/>
          <w:lang w:val="en-US"/>
        </w:rPr>
        <w:t>e</w:t>
      </w:r>
      <w:r w:rsidR="005D093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RRC based active BWP switching requirements</w:t>
      </w:r>
      <w:r w:rsidR="005D0932">
        <w:rPr>
          <w:sz w:val="22"/>
          <w:szCs w:val="22"/>
          <w:lang w:val="en-US"/>
        </w:rPr>
        <w:t>.</w:t>
      </w:r>
    </w:p>
    <w:p w14:paraId="76B57B46" w14:textId="47130261" w:rsidR="00CB610D" w:rsidRPr="001D2FBF" w:rsidRDefault="001F21F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</w:t>
      </w:r>
      <w:r w:rsidR="008838EE">
        <w:t>pplicability of</w:t>
      </w:r>
      <w:r w:rsidR="008838EE" w:rsidRPr="008838EE">
        <w:t xml:space="preserve"> RRC based BWP switching</w:t>
      </w:r>
      <w:r w:rsidR="008838EE">
        <w:t xml:space="preserve"> </w:t>
      </w:r>
      <w:r>
        <w:t xml:space="preserve"> </w:t>
      </w:r>
    </w:p>
    <w:p w14:paraId="77525144" w14:textId="09F5BA44" w:rsidR="001F21F1" w:rsidRDefault="008838EE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Following are the RAN2 responses to the two questions raised by RAN4: </w:t>
      </w:r>
    </w:p>
    <w:p w14:paraId="2D050960" w14:textId="77777777" w:rsidR="001F21F1" w:rsidRPr="001F21F1" w:rsidRDefault="001F21F1" w:rsidP="008838EE">
      <w:pPr>
        <w:numPr>
          <w:ilvl w:val="0"/>
          <w:numId w:val="36"/>
        </w:numPr>
        <w:pBdr>
          <w:top w:val="single" w:sz="4" w:space="1" w:color="auto"/>
        </w:pBdr>
        <w:spacing w:before="240" w:after="120"/>
        <w:ind w:left="357" w:hanging="357"/>
        <w:jc w:val="both"/>
        <w:rPr>
          <w:rFonts w:eastAsiaTheme="minorHAnsi"/>
          <w:lang w:val="en-US" w:eastAsia="zh-CN"/>
        </w:rPr>
      </w:pPr>
      <w:r w:rsidRPr="001F21F1">
        <w:rPr>
          <w:rFonts w:eastAsiaTheme="minorHAnsi"/>
          <w:lang w:val="en-US" w:eastAsia="zh-CN"/>
        </w:rPr>
        <w:t xml:space="preserve">On whether RRC </w:t>
      </w:r>
      <w:r w:rsidRPr="001F21F1">
        <w:rPr>
          <w:rFonts w:eastAsiaTheme="minorHAnsi"/>
          <w:bCs/>
          <w:lang w:val="en-US"/>
        </w:rPr>
        <w:t xml:space="preserve">reconfiguration can change any parameter of the already active BWP of an activated </w:t>
      </w:r>
      <w:proofErr w:type="spellStart"/>
      <w:r w:rsidRPr="001F21F1">
        <w:rPr>
          <w:rFonts w:eastAsiaTheme="minorHAnsi"/>
          <w:bCs/>
          <w:lang w:val="en-US"/>
        </w:rPr>
        <w:t>SCell</w:t>
      </w:r>
      <w:proofErr w:type="spellEnd"/>
      <w:r w:rsidRPr="001F21F1">
        <w:rPr>
          <w:rFonts w:eastAsiaTheme="minorHAnsi"/>
          <w:bCs/>
          <w:lang w:val="en-US"/>
        </w:rPr>
        <w:t xml:space="preserve"> or </w:t>
      </w:r>
      <w:proofErr w:type="spellStart"/>
      <w:r w:rsidRPr="001F21F1">
        <w:rPr>
          <w:rFonts w:eastAsiaTheme="minorHAnsi"/>
          <w:bCs/>
          <w:lang w:val="en-US"/>
        </w:rPr>
        <w:t>SpCell</w:t>
      </w:r>
      <w:proofErr w:type="spellEnd"/>
      <w:r w:rsidRPr="001F21F1">
        <w:rPr>
          <w:rFonts w:eastAsiaTheme="minorHAnsi"/>
          <w:lang w:val="en-US" w:eastAsia="zh-CN"/>
        </w:rPr>
        <w:t>.</w:t>
      </w:r>
    </w:p>
    <w:p w14:paraId="354564A5" w14:textId="77777777" w:rsidR="001F21F1" w:rsidRPr="001F21F1" w:rsidRDefault="001F21F1" w:rsidP="001F21F1">
      <w:pPr>
        <w:spacing w:after="120"/>
        <w:ind w:left="720"/>
        <w:contextualSpacing/>
        <w:jc w:val="both"/>
        <w:rPr>
          <w:rFonts w:eastAsiaTheme="minorHAnsi"/>
          <w:lang w:val="en-US" w:eastAsia="zh-CN"/>
        </w:rPr>
      </w:pPr>
    </w:p>
    <w:p w14:paraId="4232CD55" w14:textId="77777777" w:rsidR="001F21F1" w:rsidRPr="001F21F1" w:rsidRDefault="001F21F1" w:rsidP="001F21F1">
      <w:pPr>
        <w:spacing w:after="120"/>
        <w:ind w:left="720"/>
        <w:contextualSpacing/>
        <w:jc w:val="both"/>
        <w:rPr>
          <w:rFonts w:eastAsiaTheme="minorHAnsi"/>
          <w:lang w:val="en-US"/>
        </w:rPr>
      </w:pPr>
      <w:r w:rsidRPr="001F21F1">
        <w:rPr>
          <w:rFonts w:eastAsiaTheme="minorHAnsi"/>
          <w:b/>
          <w:bCs/>
          <w:lang w:val="en-US" w:eastAsia="zh-CN"/>
        </w:rPr>
        <w:t xml:space="preserve">Response: </w:t>
      </w:r>
      <w:r w:rsidRPr="001F21F1">
        <w:rPr>
          <w:rFonts w:eastAsiaTheme="minorHAnsi"/>
          <w:lang w:val="en-US" w:eastAsia="zh-CN"/>
        </w:rPr>
        <w:t>According to the RAN2 specification</w:t>
      </w:r>
      <w:r w:rsidRPr="001F21F1">
        <w:rPr>
          <w:rFonts w:eastAsiaTheme="minorHAnsi"/>
          <w:b/>
          <w:bCs/>
          <w:lang w:val="en-US" w:eastAsia="zh-CN"/>
        </w:rPr>
        <w:t xml:space="preserve"> </w:t>
      </w:r>
      <w:r w:rsidRPr="001F21F1">
        <w:rPr>
          <w:rFonts w:eastAsiaTheme="minorHAnsi"/>
          <w:lang w:val="en-US" w:eastAsia="zh-CN"/>
        </w:rPr>
        <w:t xml:space="preserve">the NW can change any parameters of an already active BWP of an </w:t>
      </w:r>
      <w:proofErr w:type="spellStart"/>
      <w:r w:rsidRPr="001F21F1">
        <w:rPr>
          <w:rFonts w:eastAsiaTheme="minorHAnsi"/>
          <w:lang w:val="en-US" w:eastAsia="zh-CN"/>
        </w:rPr>
        <w:t>SPCell</w:t>
      </w:r>
      <w:proofErr w:type="spellEnd"/>
      <w:r w:rsidRPr="001F21F1">
        <w:rPr>
          <w:rFonts w:eastAsiaTheme="minorHAnsi"/>
          <w:lang w:val="en-US" w:eastAsia="zh-CN"/>
        </w:rPr>
        <w:t xml:space="preserve"> or an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 xml:space="preserve"> with the exception that the modification of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firstActiveDownlinkBWP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and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firstActiveUplinkBWP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 for an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 xml:space="preserve"> is not allowed (for both Rel-15 and Rel-16).  The modification of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firstActiveDownlinkBWP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and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firstActiveUplinkBWP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 for an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 xml:space="preserve"> is allowed by first releasing and subsequently adding the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>, and this is not considered by RAN2 as a BWP switch.</w:t>
      </w:r>
      <w:r w:rsidRPr="001F21F1">
        <w:rPr>
          <w:rFonts w:eastAsiaTheme="minorHAnsi"/>
          <w:lang w:val="en-US"/>
        </w:rPr>
        <w:t xml:space="preserve"> </w:t>
      </w:r>
    </w:p>
    <w:p w14:paraId="31FC02FB" w14:textId="77777777" w:rsidR="001F21F1" w:rsidRPr="001F21F1" w:rsidRDefault="001F21F1" w:rsidP="001F21F1">
      <w:pPr>
        <w:spacing w:after="120"/>
        <w:ind w:left="720"/>
        <w:contextualSpacing/>
        <w:jc w:val="both"/>
        <w:rPr>
          <w:rFonts w:eastAsiaTheme="minorHAnsi"/>
          <w:lang w:val="en-US" w:eastAsia="zh-CN"/>
        </w:rPr>
      </w:pPr>
    </w:p>
    <w:p w14:paraId="2C0B2D81" w14:textId="77777777" w:rsidR="001F21F1" w:rsidRPr="001F21F1" w:rsidRDefault="001F21F1" w:rsidP="001F21F1">
      <w:pPr>
        <w:numPr>
          <w:ilvl w:val="0"/>
          <w:numId w:val="36"/>
        </w:numPr>
        <w:spacing w:after="120"/>
        <w:contextualSpacing/>
        <w:jc w:val="both"/>
        <w:rPr>
          <w:rFonts w:eastAsiaTheme="minorHAnsi"/>
          <w:lang w:val="en-US" w:eastAsia="zh-CN"/>
        </w:rPr>
      </w:pPr>
      <w:r w:rsidRPr="001F21F1">
        <w:rPr>
          <w:rFonts w:eastAsiaTheme="minorHAnsi"/>
          <w:lang w:val="en-US" w:eastAsia="zh-CN"/>
        </w:rPr>
        <w:t xml:space="preserve">On whether the RRC reconfiguration without modification of </w:t>
      </w:r>
      <w:proofErr w:type="spellStart"/>
      <w:r w:rsidRPr="001F21F1">
        <w:rPr>
          <w:rFonts w:eastAsiaTheme="minorHAnsi"/>
          <w:bCs/>
          <w:i/>
          <w:iCs/>
          <w:lang w:val="en-US"/>
        </w:rPr>
        <w:t>firstActiveDownlinkBWP</w:t>
      </w:r>
      <w:proofErr w:type="spellEnd"/>
      <w:r w:rsidRPr="001F21F1">
        <w:rPr>
          <w:rFonts w:eastAsiaTheme="minorHAnsi"/>
          <w:bCs/>
          <w:i/>
          <w:iCs/>
          <w:lang w:val="en-US"/>
        </w:rPr>
        <w:t>-Id</w:t>
      </w:r>
      <w:r w:rsidRPr="001F21F1">
        <w:rPr>
          <w:rFonts w:eastAsiaTheme="minorHAnsi"/>
          <w:bCs/>
          <w:lang w:val="en-US"/>
        </w:rPr>
        <w:t xml:space="preserve"> or </w:t>
      </w:r>
      <w:proofErr w:type="spellStart"/>
      <w:r w:rsidRPr="001F21F1">
        <w:rPr>
          <w:rFonts w:eastAsiaTheme="minorHAnsi"/>
          <w:bCs/>
          <w:i/>
          <w:iCs/>
          <w:lang w:val="en-US"/>
        </w:rPr>
        <w:t>firstActiveUplinkBWP</w:t>
      </w:r>
      <w:proofErr w:type="spellEnd"/>
      <w:r w:rsidRPr="001F21F1">
        <w:rPr>
          <w:rFonts w:eastAsiaTheme="minorHAnsi"/>
          <w:bCs/>
          <w:i/>
          <w:iCs/>
          <w:lang w:val="en-US"/>
        </w:rPr>
        <w:t>-Id</w:t>
      </w:r>
      <w:r w:rsidRPr="001F21F1">
        <w:rPr>
          <w:rFonts w:eastAsiaTheme="minorHAnsi"/>
          <w:bCs/>
          <w:lang w:val="en-US"/>
        </w:rPr>
        <w:t xml:space="preserve"> </w:t>
      </w:r>
      <w:r w:rsidRPr="001F21F1">
        <w:rPr>
          <w:rFonts w:eastAsiaTheme="minorHAnsi"/>
          <w:lang w:val="en-US" w:eastAsia="zh-CN"/>
        </w:rPr>
        <w:t xml:space="preserve">for an activated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 xml:space="preserve"> or </w:t>
      </w:r>
      <w:proofErr w:type="spellStart"/>
      <w:r w:rsidRPr="001F21F1">
        <w:rPr>
          <w:rFonts w:eastAsiaTheme="minorHAnsi"/>
          <w:lang w:val="en-US" w:eastAsia="zh-CN"/>
        </w:rPr>
        <w:t>SpCell</w:t>
      </w:r>
      <w:proofErr w:type="spellEnd"/>
      <w:r w:rsidRPr="001F21F1">
        <w:rPr>
          <w:rFonts w:eastAsiaTheme="minorHAnsi"/>
          <w:lang w:val="en-US" w:eastAsia="zh-CN"/>
        </w:rPr>
        <w:t xml:space="preserve"> can trigger a BWP switch.</w:t>
      </w:r>
    </w:p>
    <w:p w14:paraId="43DD6AEE" w14:textId="77777777" w:rsidR="001F21F1" w:rsidRPr="001F21F1" w:rsidRDefault="001F21F1" w:rsidP="001F21F1">
      <w:pPr>
        <w:spacing w:after="120"/>
        <w:ind w:left="720"/>
        <w:contextualSpacing/>
        <w:jc w:val="both"/>
        <w:rPr>
          <w:rFonts w:eastAsiaTheme="minorHAnsi"/>
          <w:lang w:val="en-US" w:eastAsia="zh-CN"/>
        </w:rPr>
      </w:pPr>
    </w:p>
    <w:p w14:paraId="4997AEAE" w14:textId="7E4B3448" w:rsidR="001F21F1" w:rsidRPr="00536350" w:rsidRDefault="001F21F1" w:rsidP="00097E4D">
      <w:pPr>
        <w:pBdr>
          <w:bottom w:val="single" w:sz="4" w:space="1" w:color="auto"/>
        </w:pBdr>
        <w:spacing w:after="0"/>
        <w:ind w:left="720"/>
        <w:contextualSpacing/>
        <w:jc w:val="both"/>
        <w:rPr>
          <w:rFonts w:eastAsiaTheme="minorHAnsi"/>
          <w:lang w:val="en-US" w:eastAsia="zh-CN"/>
        </w:rPr>
      </w:pPr>
      <w:r w:rsidRPr="001F21F1">
        <w:rPr>
          <w:rFonts w:eastAsiaTheme="minorHAnsi"/>
          <w:b/>
          <w:bCs/>
          <w:lang w:val="en-US" w:eastAsia="zh-CN"/>
        </w:rPr>
        <w:t>Response:</w:t>
      </w:r>
      <w:r w:rsidRPr="001F21F1">
        <w:rPr>
          <w:rFonts w:eastAsiaTheme="minorHAnsi"/>
          <w:lang w:val="en-US" w:eastAsia="zh-CN"/>
        </w:rPr>
        <w:t xml:space="preserve"> RAN2 confirms that an RRC message with a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firstActiveDownlinkBWP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and </w:t>
      </w:r>
      <w:proofErr w:type="spellStart"/>
      <w:r w:rsidRPr="001F21F1">
        <w:rPr>
          <w:rFonts w:eastAsiaTheme="minorHAnsi"/>
          <w:i/>
          <w:iCs/>
          <w:lang w:val="en-US" w:eastAsia="zh-CN"/>
        </w:rPr>
        <w:t>firstActiveUplinkBWP</w:t>
      </w:r>
      <w:proofErr w:type="spellEnd"/>
      <w:r w:rsidRPr="001F21F1">
        <w:rPr>
          <w:rFonts w:eastAsiaTheme="minorHAnsi"/>
          <w:i/>
          <w:iCs/>
          <w:lang w:val="en-US" w:eastAsia="zh-CN"/>
        </w:rPr>
        <w:t>-Id</w:t>
      </w:r>
      <w:r w:rsidRPr="001F21F1">
        <w:rPr>
          <w:rFonts w:eastAsiaTheme="minorHAnsi"/>
          <w:lang w:val="en-US" w:eastAsia="zh-CN"/>
        </w:rPr>
        <w:t xml:space="preserve"> that is different from the UE’s current BWP ID, results in a BWP switch for an </w:t>
      </w:r>
      <w:proofErr w:type="spellStart"/>
      <w:r w:rsidRPr="001F21F1">
        <w:rPr>
          <w:rFonts w:eastAsiaTheme="minorHAnsi"/>
          <w:lang w:val="en-US" w:eastAsia="zh-CN"/>
        </w:rPr>
        <w:t>SpCell</w:t>
      </w:r>
      <w:proofErr w:type="spellEnd"/>
      <w:r w:rsidRPr="001F21F1">
        <w:rPr>
          <w:rFonts w:eastAsiaTheme="minorHAnsi"/>
          <w:lang w:val="en-US" w:eastAsia="zh-CN"/>
        </w:rPr>
        <w:t xml:space="preserve">. And in Rel-15 or in Rel-16, the BWP switching for </w:t>
      </w:r>
      <w:proofErr w:type="spellStart"/>
      <w:r w:rsidRPr="001F21F1">
        <w:rPr>
          <w:rFonts w:eastAsiaTheme="minorHAnsi"/>
          <w:lang w:val="en-US" w:eastAsia="zh-CN"/>
        </w:rPr>
        <w:t>SCell</w:t>
      </w:r>
      <w:proofErr w:type="spellEnd"/>
      <w:r w:rsidRPr="001F21F1">
        <w:rPr>
          <w:rFonts w:eastAsiaTheme="minorHAnsi"/>
          <w:lang w:val="en-US" w:eastAsia="zh-CN"/>
        </w:rPr>
        <w:t xml:space="preserve"> using RRC message is not be possible.</w:t>
      </w:r>
    </w:p>
    <w:p w14:paraId="53422EAA" w14:textId="64847803" w:rsidR="001F21F1" w:rsidRDefault="00097E4D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From the above responses the following conclusion</w:t>
      </w:r>
      <w:r w:rsidR="00854D51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can be drawn:</w:t>
      </w:r>
    </w:p>
    <w:p w14:paraId="2D5AB08D" w14:textId="59353163" w:rsidR="00097E4D" w:rsidRPr="000A7733" w:rsidRDefault="00097E4D" w:rsidP="00097E4D">
      <w:pPr>
        <w:pStyle w:val="ListParagraph"/>
        <w:numPr>
          <w:ilvl w:val="0"/>
          <w:numId w:val="37"/>
        </w:numPr>
        <w:spacing w:before="240"/>
        <w:rPr>
          <w:rFonts w:ascii="Times New Roman" w:hAnsi="Times New Roman"/>
          <w:szCs w:val="22"/>
        </w:rPr>
      </w:pPr>
      <w:r w:rsidRPr="000A7733">
        <w:rPr>
          <w:rFonts w:ascii="Times New Roman" w:hAnsi="Times New Roman"/>
          <w:szCs w:val="22"/>
        </w:rPr>
        <w:t xml:space="preserve">RRC based active BWP switching </w:t>
      </w:r>
      <w:r w:rsidR="000A7733" w:rsidRPr="000A7733">
        <w:rPr>
          <w:rFonts w:ascii="Times New Roman" w:hAnsi="Times New Roman"/>
          <w:szCs w:val="22"/>
        </w:rPr>
        <w:t xml:space="preserve">delay requirements apply </w:t>
      </w:r>
      <w:proofErr w:type="spellStart"/>
      <w:r w:rsidR="000A7733" w:rsidRPr="000A7733">
        <w:rPr>
          <w:rFonts w:ascii="Times New Roman" w:hAnsi="Times New Roman"/>
          <w:szCs w:val="22"/>
        </w:rPr>
        <w:t>ony</w:t>
      </w:r>
      <w:proofErr w:type="spellEnd"/>
      <w:r w:rsidR="000A7733" w:rsidRPr="000A7733">
        <w:rPr>
          <w:rFonts w:ascii="Times New Roman" w:hAnsi="Times New Roman"/>
          <w:szCs w:val="22"/>
        </w:rPr>
        <w:t xml:space="preserve"> for </w:t>
      </w:r>
      <w:proofErr w:type="spellStart"/>
      <w:r w:rsidR="000A7733" w:rsidRPr="000A7733">
        <w:rPr>
          <w:rFonts w:ascii="Times New Roman" w:hAnsi="Times New Roman"/>
          <w:szCs w:val="22"/>
        </w:rPr>
        <w:t>SpCell</w:t>
      </w:r>
      <w:proofErr w:type="spellEnd"/>
      <w:r w:rsidR="000A7733" w:rsidRPr="000A7733">
        <w:rPr>
          <w:rFonts w:ascii="Times New Roman" w:hAnsi="Times New Roman"/>
          <w:szCs w:val="22"/>
        </w:rPr>
        <w:t xml:space="preserve"> (</w:t>
      </w:r>
      <w:proofErr w:type="spellStart"/>
      <w:r w:rsidR="000A7733" w:rsidRPr="000A7733">
        <w:rPr>
          <w:rFonts w:ascii="Times New Roman" w:hAnsi="Times New Roman"/>
          <w:szCs w:val="22"/>
        </w:rPr>
        <w:t>PCell</w:t>
      </w:r>
      <w:proofErr w:type="spellEnd"/>
      <w:r w:rsidR="000A7733" w:rsidRPr="000A7733">
        <w:rPr>
          <w:rFonts w:ascii="Times New Roman" w:hAnsi="Times New Roman"/>
          <w:szCs w:val="22"/>
        </w:rPr>
        <w:t xml:space="preserve"> and </w:t>
      </w:r>
      <w:proofErr w:type="spellStart"/>
      <w:r w:rsidR="000A7733" w:rsidRPr="000A7733">
        <w:rPr>
          <w:rFonts w:ascii="Times New Roman" w:hAnsi="Times New Roman"/>
          <w:szCs w:val="22"/>
        </w:rPr>
        <w:t>PSCell</w:t>
      </w:r>
      <w:proofErr w:type="spellEnd"/>
      <w:r w:rsidR="000A7733" w:rsidRPr="000A7733">
        <w:rPr>
          <w:rFonts w:ascii="Times New Roman" w:hAnsi="Times New Roman"/>
          <w:szCs w:val="22"/>
        </w:rPr>
        <w:t>).</w:t>
      </w:r>
    </w:p>
    <w:p w14:paraId="68B47682" w14:textId="2F321DB4" w:rsidR="000A7733" w:rsidRPr="000A7733" w:rsidRDefault="00C00E12" w:rsidP="00C00E12">
      <w:pPr>
        <w:pStyle w:val="ListParagraph"/>
        <w:numPr>
          <w:ilvl w:val="1"/>
          <w:numId w:val="37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On </w:t>
      </w:r>
      <w:proofErr w:type="spellStart"/>
      <w:r>
        <w:rPr>
          <w:rFonts w:ascii="Times New Roman" w:hAnsi="Times New Roman"/>
          <w:szCs w:val="22"/>
        </w:rPr>
        <w:t>SpCell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="000A7733" w:rsidRPr="000A7733">
        <w:rPr>
          <w:rFonts w:ascii="Times New Roman" w:hAnsi="Times New Roman"/>
          <w:szCs w:val="22"/>
        </w:rPr>
        <w:t xml:space="preserve">any BWP parameter including </w:t>
      </w:r>
      <w:proofErr w:type="spellStart"/>
      <w:r w:rsidR="000A7733" w:rsidRPr="001F21F1">
        <w:rPr>
          <w:rFonts w:ascii="Times New Roman" w:hAnsi="Times New Roman"/>
          <w:i/>
          <w:iCs/>
          <w:szCs w:val="22"/>
          <w:lang w:val="en-GB"/>
        </w:rPr>
        <w:t>firstActiveDownlinkBWP</w:t>
      </w:r>
      <w:proofErr w:type="spellEnd"/>
      <w:r w:rsidR="000A7733" w:rsidRPr="001F21F1">
        <w:rPr>
          <w:rFonts w:ascii="Times New Roman" w:hAnsi="Times New Roman"/>
          <w:i/>
          <w:iCs/>
          <w:szCs w:val="22"/>
          <w:lang w:val="en-GB"/>
        </w:rPr>
        <w:t>-Id</w:t>
      </w:r>
      <w:r w:rsidR="000A7733" w:rsidRPr="001F21F1">
        <w:rPr>
          <w:rFonts w:ascii="Times New Roman" w:hAnsi="Times New Roman"/>
          <w:szCs w:val="22"/>
          <w:lang w:val="en-GB"/>
        </w:rPr>
        <w:t xml:space="preserve"> and </w:t>
      </w:r>
      <w:proofErr w:type="spellStart"/>
      <w:r w:rsidR="000A7733" w:rsidRPr="001F21F1">
        <w:rPr>
          <w:rFonts w:ascii="Times New Roman" w:hAnsi="Times New Roman"/>
          <w:i/>
          <w:iCs/>
          <w:szCs w:val="22"/>
          <w:lang w:val="en-GB"/>
        </w:rPr>
        <w:t>firstActiveUplinkBWP</w:t>
      </w:r>
      <w:proofErr w:type="spellEnd"/>
      <w:r w:rsidR="000A7733" w:rsidRPr="001F21F1">
        <w:rPr>
          <w:rFonts w:ascii="Times New Roman" w:hAnsi="Times New Roman"/>
          <w:i/>
          <w:iCs/>
          <w:szCs w:val="22"/>
          <w:lang w:val="en-GB"/>
        </w:rPr>
        <w:t>-Id</w:t>
      </w:r>
      <w:r w:rsidR="000A7733" w:rsidRPr="001F21F1">
        <w:rPr>
          <w:rFonts w:ascii="Times New Roman" w:hAnsi="Times New Roman"/>
          <w:szCs w:val="22"/>
          <w:lang w:val="en-GB"/>
        </w:rPr>
        <w:t xml:space="preserve">  </w:t>
      </w:r>
      <w:r w:rsidR="000A7733" w:rsidRPr="000A7733">
        <w:rPr>
          <w:rFonts w:ascii="Times New Roman" w:hAnsi="Times New Roman"/>
          <w:szCs w:val="22"/>
          <w:lang w:val="en-GB"/>
        </w:rPr>
        <w:t>can be changed.</w:t>
      </w:r>
    </w:p>
    <w:p w14:paraId="6A08F5FD" w14:textId="71C8E81B" w:rsidR="000A7733" w:rsidRDefault="000A7733" w:rsidP="000A7733">
      <w:pPr>
        <w:pStyle w:val="ListParagraph"/>
        <w:numPr>
          <w:ilvl w:val="0"/>
          <w:numId w:val="37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733">
        <w:rPr>
          <w:rFonts w:ascii="Times New Roman" w:hAnsi="Times New Roman"/>
          <w:szCs w:val="22"/>
        </w:rPr>
        <w:t xml:space="preserve">However, the RRC message can reconfigure/change any </w:t>
      </w:r>
      <w:r w:rsidR="006B732C">
        <w:rPr>
          <w:rFonts w:ascii="Times New Roman" w:hAnsi="Times New Roman"/>
          <w:szCs w:val="22"/>
        </w:rPr>
        <w:t xml:space="preserve">other </w:t>
      </w:r>
      <w:r w:rsidR="00C00E12">
        <w:rPr>
          <w:rFonts w:ascii="Times New Roman" w:hAnsi="Times New Roman"/>
          <w:szCs w:val="22"/>
        </w:rPr>
        <w:t xml:space="preserve">parameter of the BWP </w:t>
      </w:r>
      <w:r w:rsidR="006B732C">
        <w:rPr>
          <w:rFonts w:ascii="Times New Roman" w:hAnsi="Times New Roman"/>
          <w:szCs w:val="22"/>
        </w:rPr>
        <w:t xml:space="preserve">for </w:t>
      </w:r>
      <w:proofErr w:type="spellStart"/>
      <w:r w:rsidR="006B732C">
        <w:rPr>
          <w:rFonts w:ascii="Times New Roman" w:hAnsi="Times New Roman"/>
          <w:szCs w:val="22"/>
        </w:rPr>
        <w:t>SCell</w:t>
      </w:r>
      <w:proofErr w:type="spellEnd"/>
    </w:p>
    <w:p w14:paraId="7683C1A6" w14:textId="38A0C4EF" w:rsidR="00097E4D" w:rsidRPr="00854D51" w:rsidRDefault="00C00E12" w:rsidP="00854D51">
      <w:pPr>
        <w:pStyle w:val="ListParagraph"/>
        <w:numPr>
          <w:ilvl w:val="1"/>
          <w:numId w:val="37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On </w:t>
      </w:r>
      <w:proofErr w:type="spellStart"/>
      <w:r>
        <w:rPr>
          <w:rFonts w:ascii="Times New Roman" w:hAnsi="Times New Roman"/>
          <w:szCs w:val="22"/>
        </w:rPr>
        <w:t>SCell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Pr="000A7733">
        <w:rPr>
          <w:rFonts w:ascii="Times New Roman" w:hAnsi="Times New Roman"/>
          <w:szCs w:val="22"/>
        </w:rPr>
        <w:t xml:space="preserve">any BWP parameter </w:t>
      </w:r>
      <w:r>
        <w:rPr>
          <w:rFonts w:ascii="Times New Roman" w:hAnsi="Times New Roman"/>
          <w:szCs w:val="22"/>
        </w:rPr>
        <w:t>other than</w:t>
      </w:r>
      <w:r w:rsidRPr="000A7733">
        <w:rPr>
          <w:rFonts w:ascii="Times New Roman" w:hAnsi="Times New Roman"/>
          <w:szCs w:val="22"/>
        </w:rPr>
        <w:t xml:space="preserve"> </w:t>
      </w:r>
      <w:proofErr w:type="spellStart"/>
      <w:r w:rsidRPr="001F21F1">
        <w:rPr>
          <w:rFonts w:ascii="Times New Roman" w:hAnsi="Times New Roman"/>
          <w:i/>
          <w:iCs/>
          <w:szCs w:val="22"/>
          <w:lang w:val="en-GB"/>
        </w:rPr>
        <w:t>firstActiveDownlinkBWP</w:t>
      </w:r>
      <w:proofErr w:type="spellEnd"/>
      <w:r w:rsidRPr="001F21F1">
        <w:rPr>
          <w:rFonts w:ascii="Times New Roman" w:hAnsi="Times New Roman"/>
          <w:i/>
          <w:iCs/>
          <w:szCs w:val="22"/>
          <w:lang w:val="en-GB"/>
        </w:rPr>
        <w:t>-Id</w:t>
      </w:r>
      <w:r w:rsidRPr="001F21F1">
        <w:rPr>
          <w:rFonts w:ascii="Times New Roman" w:hAnsi="Times New Roman"/>
          <w:szCs w:val="22"/>
          <w:lang w:val="en-GB"/>
        </w:rPr>
        <w:t xml:space="preserve"> </w:t>
      </w:r>
      <w:r>
        <w:rPr>
          <w:rFonts w:ascii="Times New Roman" w:hAnsi="Times New Roman"/>
          <w:szCs w:val="22"/>
          <w:lang w:val="en-GB"/>
        </w:rPr>
        <w:t xml:space="preserve">or </w:t>
      </w:r>
      <w:proofErr w:type="spellStart"/>
      <w:r w:rsidRPr="001F21F1">
        <w:rPr>
          <w:rFonts w:ascii="Times New Roman" w:hAnsi="Times New Roman"/>
          <w:i/>
          <w:iCs/>
          <w:szCs w:val="22"/>
          <w:lang w:val="en-GB"/>
        </w:rPr>
        <w:t>firstActiveUplinkBWP</w:t>
      </w:r>
      <w:proofErr w:type="spellEnd"/>
      <w:r w:rsidRPr="001F21F1">
        <w:rPr>
          <w:rFonts w:ascii="Times New Roman" w:hAnsi="Times New Roman"/>
          <w:i/>
          <w:iCs/>
          <w:szCs w:val="22"/>
          <w:lang w:val="en-GB"/>
        </w:rPr>
        <w:t>-Id</w:t>
      </w:r>
      <w:r w:rsidRPr="001F21F1">
        <w:rPr>
          <w:rFonts w:ascii="Times New Roman" w:hAnsi="Times New Roman"/>
          <w:szCs w:val="22"/>
          <w:lang w:val="en-GB"/>
        </w:rPr>
        <w:t xml:space="preserve">  </w:t>
      </w:r>
      <w:r w:rsidRPr="000A7733">
        <w:rPr>
          <w:rFonts w:ascii="Times New Roman" w:hAnsi="Times New Roman"/>
          <w:szCs w:val="22"/>
          <w:lang w:val="en-GB"/>
        </w:rPr>
        <w:t>can be changed.</w:t>
      </w:r>
    </w:p>
    <w:p w14:paraId="3631EEA7" w14:textId="5A920874" w:rsidR="00854D51" w:rsidRDefault="00B378D8" w:rsidP="00854D51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Modification </w:t>
      </w:r>
      <w:r w:rsidR="00854D51">
        <w:t>of</w:t>
      </w:r>
      <w:r w:rsidR="00854D51" w:rsidRPr="008838EE">
        <w:t xml:space="preserve"> RRC based BWP switching</w:t>
      </w:r>
      <w:r>
        <w:t xml:space="preserve"> requirements</w:t>
      </w:r>
    </w:p>
    <w:p w14:paraId="132C025B" w14:textId="0DA46C5A" w:rsidR="003B15F0" w:rsidRPr="0022522D" w:rsidRDefault="009D4D05" w:rsidP="0022522D">
      <w:pPr>
        <w:spacing w:before="240"/>
        <w:rPr>
          <w:sz w:val="22"/>
          <w:szCs w:val="22"/>
        </w:rPr>
      </w:pPr>
      <w:r w:rsidRPr="0022522D">
        <w:rPr>
          <w:sz w:val="22"/>
          <w:szCs w:val="22"/>
        </w:rPr>
        <w:t>The following RRC based BWP switching delay requirements are specified in TS 38.133:</w:t>
      </w:r>
    </w:p>
    <w:p w14:paraId="5A19DA4D" w14:textId="44AFFF2E" w:rsidR="00CB644C" w:rsidRPr="0022522D" w:rsidRDefault="009D4D05" w:rsidP="009D4D05">
      <w:pPr>
        <w:pStyle w:val="ListParagraph"/>
        <w:numPr>
          <w:ilvl w:val="0"/>
          <w:numId w:val="38"/>
        </w:numPr>
        <w:rPr>
          <w:rFonts w:ascii="Times New Roman" w:hAnsi="Times New Roman"/>
          <w:szCs w:val="22"/>
        </w:rPr>
      </w:pPr>
      <w:r w:rsidRPr="0022522D">
        <w:rPr>
          <w:rFonts w:ascii="Times New Roman" w:hAnsi="Times New Roman"/>
          <w:szCs w:val="22"/>
        </w:rPr>
        <w:t>8.6.3</w:t>
      </w:r>
      <w:r w:rsidRPr="0022522D">
        <w:rPr>
          <w:rFonts w:ascii="Times New Roman" w:hAnsi="Times New Roman"/>
          <w:szCs w:val="22"/>
        </w:rPr>
        <w:tab/>
      </w:r>
      <w:r w:rsidRPr="0022522D">
        <w:rPr>
          <w:rFonts w:ascii="Times New Roman" w:hAnsi="Times New Roman"/>
          <w:szCs w:val="22"/>
        </w:rPr>
        <w:tab/>
      </w:r>
      <w:r w:rsidR="00CB644C" w:rsidRPr="0022522D">
        <w:rPr>
          <w:rFonts w:ascii="Times New Roman" w:hAnsi="Times New Roman"/>
          <w:szCs w:val="22"/>
        </w:rPr>
        <w:t>RRC based BWP switch delay on a single CC</w:t>
      </w:r>
      <w:r w:rsidR="00CB644C" w:rsidRPr="0022522D">
        <w:rPr>
          <w:rFonts w:ascii="Times New Roman" w:hAnsi="Times New Roman"/>
          <w:szCs w:val="22"/>
        </w:rPr>
        <w:tab/>
      </w:r>
    </w:p>
    <w:p w14:paraId="0BB8E115" w14:textId="07C07DDD" w:rsidR="00CB644C" w:rsidRPr="0022522D" w:rsidRDefault="00CB644C" w:rsidP="009D4D05">
      <w:pPr>
        <w:pStyle w:val="ListParagraph"/>
        <w:numPr>
          <w:ilvl w:val="0"/>
          <w:numId w:val="38"/>
        </w:numPr>
        <w:rPr>
          <w:rFonts w:ascii="Times New Roman" w:hAnsi="Times New Roman"/>
          <w:szCs w:val="22"/>
        </w:rPr>
      </w:pPr>
      <w:r w:rsidRPr="0022522D">
        <w:rPr>
          <w:rFonts w:ascii="Times New Roman" w:hAnsi="Times New Roman"/>
          <w:szCs w:val="22"/>
        </w:rPr>
        <w:t>8.6.3A.1</w:t>
      </w:r>
      <w:r w:rsidRPr="0022522D">
        <w:rPr>
          <w:rFonts w:ascii="Times New Roman" w:hAnsi="Times New Roman"/>
          <w:szCs w:val="22"/>
        </w:rPr>
        <w:tab/>
        <w:t>Simultaneous RRC based BWP switch delay on multiple CCs</w:t>
      </w:r>
    </w:p>
    <w:p w14:paraId="01A75118" w14:textId="106C1357" w:rsidR="00CB644C" w:rsidRPr="0022522D" w:rsidRDefault="00CB644C" w:rsidP="009D4D05">
      <w:pPr>
        <w:pStyle w:val="ListParagraph"/>
        <w:numPr>
          <w:ilvl w:val="0"/>
          <w:numId w:val="38"/>
        </w:numPr>
        <w:rPr>
          <w:rFonts w:ascii="Times New Roman" w:hAnsi="Times New Roman"/>
          <w:szCs w:val="22"/>
        </w:rPr>
      </w:pPr>
      <w:r w:rsidRPr="0022522D">
        <w:rPr>
          <w:rFonts w:ascii="Times New Roman" w:hAnsi="Times New Roman"/>
          <w:szCs w:val="22"/>
        </w:rPr>
        <w:lastRenderedPageBreak/>
        <w:t>8.6.3A.2</w:t>
      </w:r>
      <w:r w:rsidRPr="0022522D">
        <w:rPr>
          <w:rFonts w:ascii="Times New Roman" w:hAnsi="Times New Roman"/>
          <w:szCs w:val="22"/>
        </w:rPr>
        <w:tab/>
        <w:t>Non-simultaneous RRC based BWP switch delay on multiple CCs</w:t>
      </w:r>
    </w:p>
    <w:p w14:paraId="1D2EAC07" w14:textId="5C358E9D" w:rsidR="009D4D05" w:rsidRPr="0022522D" w:rsidRDefault="009D4D05" w:rsidP="009D4D05">
      <w:pPr>
        <w:rPr>
          <w:sz w:val="22"/>
          <w:szCs w:val="22"/>
        </w:rPr>
      </w:pPr>
    </w:p>
    <w:p w14:paraId="21ACAE36" w14:textId="2E9EC609" w:rsidR="009D4D05" w:rsidRPr="0022522D" w:rsidRDefault="00195E3A" w:rsidP="00195E3A">
      <w:pPr>
        <w:spacing w:after="0"/>
        <w:rPr>
          <w:sz w:val="22"/>
          <w:szCs w:val="22"/>
        </w:rPr>
      </w:pPr>
      <w:r>
        <w:rPr>
          <w:sz w:val="22"/>
          <w:szCs w:val="22"/>
        </w:rPr>
        <w:t>T</w:t>
      </w:r>
      <w:r w:rsidR="0022522D">
        <w:rPr>
          <w:sz w:val="22"/>
          <w:szCs w:val="22"/>
        </w:rPr>
        <w:t xml:space="preserve">o align with the RAN2 procedure for RRC based BWP switching the </w:t>
      </w:r>
      <w:r w:rsidR="009D4D05" w:rsidRPr="0022522D">
        <w:rPr>
          <w:sz w:val="22"/>
          <w:szCs w:val="22"/>
        </w:rPr>
        <w:t>following modifications are needed in the RRC based BWP switching requirements</w:t>
      </w:r>
      <w:r w:rsidR="0022522D">
        <w:rPr>
          <w:sz w:val="22"/>
          <w:szCs w:val="22"/>
        </w:rPr>
        <w:t xml:space="preserve"> in TS 38.133:</w:t>
      </w:r>
    </w:p>
    <w:p w14:paraId="44E25A9D" w14:textId="505F4F38" w:rsidR="009D4D05" w:rsidRDefault="0022522D" w:rsidP="00195E3A">
      <w:pPr>
        <w:pStyle w:val="ListParagraph"/>
        <w:numPr>
          <w:ilvl w:val="0"/>
          <w:numId w:val="39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In s</w:t>
      </w:r>
      <w:r w:rsidR="009D4D05" w:rsidRPr="0022522D">
        <w:rPr>
          <w:rFonts w:ascii="Times New Roman" w:hAnsi="Times New Roman"/>
          <w:szCs w:val="22"/>
        </w:rPr>
        <w:t>ection 8.6.3</w:t>
      </w:r>
      <w:r>
        <w:rPr>
          <w:rFonts w:ascii="Times New Roman" w:hAnsi="Times New Roman"/>
          <w:szCs w:val="22"/>
        </w:rPr>
        <w:t xml:space="preserve"> the </w:t>
      </w:r>
      <w:r w:rsidR="009D4D05" w:rsidRPr="0022522D">
        <w:rPr>
          <w:rFonts w:ascii="Times New Roman" w:hAnsi="Times New Roman"/>
          <w:szCs w:val="22"/>
        </w:rPr>
        <w:t xml:space="preserve">RRC based BWP switch delay </w:t>
      </w:r>
      <w:r w:rsidR="00195E3A">
        <w:rPr>
          <w:rFonts w:ascii="Times New Roman" w:hAnsi="Times New Roman"/>
          <w:szCs w:val="22"/>
        </w:rPr>
        <w:t xml:space="preserve">is made applicable to only </w:t>
      </w:r>
      <w:proofErr w:type="spellStart"/>
      <w:r w:rsidR="00195E3A">
        <w:rPr>
          <w:rFonts w:ascii="Times New Roman" w:hAnsi="Times New Roman"/>
          <w:szCs w:val="22"/>
        </w:rPr>
        <w:t>SpCell</w:t>
      </w:r>
      <w:proofErr w:type="spellEnd"/>
      <w:r w:rsidR="009D4D05" w:rsidRPr="0022522D">
        <w:rPr>
          <w:rFonts w:ascii="Times New Roman" w:hAnsi="Times New Roman"/>
          <w:szCs w:val="22"/>
        </w:rPr>
        <w:tab/>
      </w:r>
    </w:p>
    <w:p w14:paraId="0332BDB9" w14:textId="39FAA520" w:rsidR="00195E3A" w:rsidRPr="0022522D" w:rsidRDefault="00195E3A" w:rsidP="00195E3A">
      <w:pPr>
        <w:pStyle w:val="ListParagraph"/>
        <w:numPr>
          <w:ilvl w:val="0"/>
          <w:numId w:val="39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The requirements in s</w:t>
      </w:r>
      <w:r w:rsidRPr="0022522D">
        <w:rPr>
          <w:rFonts w:ascii="Times New Roman" w:hAnsi="Times New Roman"/>
          <w:szCs w:val="22"/>
        </w:rPr>
        <w:t>ection 8.6.3</w:t>
      </w:r>
      <w:r>
        <w:rPr>
          <w:rFonts w:ascii="Times New Roman" w:hAnsi="Times New Roman"/>
          <w:szCs w:val="22"/>
        </w:rPr>
        <w:t xml:space="preserve">A.1 </w:t>
      </w:r>
      <w:r w:rsidR="00FA58FD">
        <w:rPr>
          <w:rFonts w:ascii="Times New Roman" w:hAnsi="Times New Roman"/>
          <w:szCs w:val="22"/>
        </w:rPr>
        <w:t>need to be removed since</w:t>
      </w:r>
      <w:r>
        <w:rPr>
          <w:rFonts w:ascii="Times New Roman" w:hAnsi="Times New Roman"/>
          <w:szCs w:val="22"/>
        </w:rPr>
        <w:t xml:space="preserve"> the</w:t>
      </w:r>
      <w:r w:rsidR="00FA58FD">
        <w:rPr>
          <w:rFonts w:ascii="Times New Roman" w:hAnsi="Times New Roman"/>
          <w:szCs w:val="22"/>
        </w:rPr>
        <w:t xml:space="preserve">y apply to CCs within the same CG i.e. for CA scenario. </w:t>
      </w:r>
    </w:p>
    <w:p w14:paraId="40F38029" w14:textId="31DAF852" w:rsidR="008E12BF" w:rsidRPr="00583A1C" w:rsidRDefault="00FA58FD" w:rsidP="008E12BF">
      <w:pPr>
        <w:pStyle w:val="ListParagraph"/>
        <w:numPr>
          <w:ilvl w:val="0"/>
          <w:numId w:val="39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The requirements in s</w:t>
      </w:r>
      <w:r w:rsidRPr="0022522D">
        <w:rPr>
          <w:rFonts w:ascii="Times New Roman" w:hAnsi="Times New Roman"/>
          <w:szCs w:val="22"/>
        </w:rPr>
        <w:t>ection 8.6.3</w:t>
      </w:r>
      <w:r>
        <w:rPr>
          <w:rFonts w:ascii="Times New Roman" w:hAnsi="Times New Roman"/>
          <w:szCs w:val="22"/>
        </w:rPr>
        <w:t>A.2 are define</w:t>
      </w:r>
      <w:r w:rsidR="007D5F18">
        <w:rPr>
          <w:rFonts w:ascii="Times New Roman" w:hAnsi="Times New Roman"/>
          <w:szCs w:val="22"/>
        </w:rPr>
        <w:t>d</w:t>
      </w:r>
      <w:r>
        <w:rPr>
          <w:rFonts w:ascii="Times New Roman" w:hAnsi="Times New Roman"/>
          <w:szCs w:val="22"/>
        </w:rPr>
        <w:t xml:space="preserve"> for NR-DC so they remain applicable. However, the  requirements are made applicable for </w:t>
      </w:r>
      <w:proofErr w:type="spellStart"/>
      <w:r>
        <w:rPr>
          <w:rFonts w:ascii="Times New Roman" w:hAnsi="Times New Roman"/>
          <w:szCs w:val="22"/>
        </w:rPr>
        <w:t>PCell</w:t>
      </w:r>
      <w:proofErr w:type="spellEnd"/>
      <w:r>
        <w:rPr>
          <w:rFonts w:ascii="Times New Roman" w:hAnsi="Times New Roman"/>
          <w:szCs w:val="22"/>
        </w:rPr>
        <w:t xml:space="preserve"> and </w:t>
      </w:r>
      <w:proofErr w:type="spellStart"/>
      <w:r>
        <w:rPr>
          <w:rFonts w:ascii="Times New Roman" w:hAnsi="Times New Roman"/>
          <w:szCs w:val="22"/>
        </w:rPr>
        <w:t>PSCell</w:t>
      </w:r>
      <w:proofErr w:type="spellEnd"/>
      <w:r>
        <w:rPr>
          <w:rFonts w:ascii="Times New Roman" w:hAnsi="Times New Roman"/>
          <w:szCs w:val="22"/>
        </w:rPr>
        <w:t xml:space="preserve">. This also requires removal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  <m:r>
          <w:rPr>
            <w:rFonts w:ascii="Cambria Math" w:hAnsi="Cambria Math"/>
            <w:lang w:eastAsia="zh-CN"/>
          </w:rPr>
          <m:t>*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M-1</m:t>
            </m:r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="00983A86">
        <w:rPr>
          <w:rFonts w:ascii="Times New Roman" w:hAnsi="Times New Roman"/>
          <w:szCs w:val="22"/>
        </w:rPr>
        <w:t xml:space="preserve">from the delay </w:t>
      </w:r>
      <w:r w:rsidR="008E12BF">
        <w:rPr>
          <w:rFonts w:ascii="Times New Roman" w:hAnsi="Times New Roman"/>
          <w:szCs w:val="22"/>
        </w:rPr>
        <w:t xml:space="preserve">since </w:t>
      </w:r>
      <w:r>
        <w:rPr>
          <w:rFonts w:ascii="Times New Roman" w:hAnsi="Times New Roman"/>
          <w:szCs w:val="22"/>
        </w:rPr>
        <w:t xml:space="preserve">parameter N </w:t>
      </w:r>
      <w:r w:rsidR="008E12BF">
        <w:rPr>
          <w:rFonts w:ascii="Times New Roman" w:hAnsi="Times New Roman"/>
          <w:szCs w:val="22"/>
        </w:rPr>
        <w:t xml:space="preserve">=1 </w:t>
      </w:r>
      <w:r>
        <w:rPr>
          <w:rFonts w:ascii="Times New Roman" w:hAnsi="Times New Roman"/>
          <w:szCs w:val="22"/>
        </w:rPr>
        <w:t>which defines the number of CCs in the</w:t>
      </w:r>
      <w:r w:rsidR="009F3345">
        <w:rPr>
          <w:rFonts w:ascii="Times New Roman" w:hAnsi="Times New Roman"/>
          <w:szCs w:val="22"/>
        </w:rPr>
        <w:t xml:space="preserve"> second </w:t>
      </w:r>
      <w:r>
        <w:rPr>
          <w:rFonts w:ascii="Times New Roman" w:hAnsi="Times New Roman"/>
          <w:szCs w:val="22"/>
        </w:rPr>
        <w:t>CG</w:t>
      </w:r>
      <w:r w:rsidR="008E12BF">
        <w:rPr>
          <w:rFonts w:ascii="Times New Roman" w:hAnsi="Times New Roman"/>
          <w:szCs w:val="22"/>
        </w:rPr>
        <w:t xml:space="preserve"> as </w:t>
      </w:r>
      <w:r w:rsidR="0018095A">
        <w:rPr>
          <w:rFonts w:ascii="Times New Roman" w:hAnsi="Times New Roman"/>
          <w:szCs w:val="22"/>
        </w:rPr>
        <w:t xml:space="preserve">there is only </w:t>
      </w:r>
      <w:proofErr w:type="spellStart"/>
      <w:r w:rsidR="0018095A">
        <w:rPr>
          <w:rFonts w:ascii="Times New Roman" w:hAnsi="Times New Roman"/>
          <w:szCs w:val="22"/>
        </w:rPr>
        <w:t>SpCell</w:t>
      </w:r>
      <w:proofErr w:type="spellEnd"/>
      <w:r w:rsidR="0018095A">
        <w:rPr>
          <w:rFonts w:ascii="Times New Roman" w:hAnsi="Times New Roman"/>
          <w:szCs w:val="22"/>
        </w:rPr>
        <w:t xml:space="preserve"> in the CG</w:t>
      </w:r>
      <w:r>
        <w:rPr>
          <w:rFonts w:ascii="Times New Roman" w:hAnsi="Times New Roman"/>
          <w:szCs w:val="22"/>
        </w:rPr>
        <w:t xml:space="preserve">.  </w:t>
      </w:r>
    </w:p>
    <w:p w14:paraId="7E839FAC" w14:textId="6E623DEA" w:rsidR="008E12BF" w:rsidRDefault="008E12BF" w:rsidP="008E12BF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Delay for changing other </w:t>
      </w:r>
      <w:r w:rsidRPr="008838EE">
        <w:t xml:space="preserve">BWP </w:t>
      </w:r>
      <w:r>
        <w:t xml:space="preserve">parameters on </w:t>
      </w:r>
      <w:proofErr w:type="spellStart"/>
      <w:r>
        <w:t>SCell</w:t>
      </w:r>
      <w:proofErr w:type="spellEnd"/>
    </w:p>
    <w:p w14:paraId="091B7C7E" w14:textId="6A24F82C" w:rsidR="008E12BF" w:rsidRPr="00D71E8E" w:rsidRDefault="008E12BF" w:rsidP="00D71E8E">
      <w:pPr>
        <w:spacing w:before="240"/>
        <w:rPr>
          <w:sz w:val="22"/>
          <w:szCs w:val="22"/>
        </w:rPr>
      </w:pPr>
      <w:r>
        <w:rPr>
          <w:sz w:val="22"/>
          <w:szCs w:val="22"/>
        </w:rPr>
        <w:t>As discussed in section 2 that o</w:t>
      </w:r>
      <w:r w:rsidRPr="008E12BF">
        <w:rPr>
          <w:szCs w:val="22"/>
        </w:rPr>
        <w:t xml:space="preserve">n </w:t>
      </w:r>
      <w:proofErr w:type="spellStart"/>
      <w:r w:rsidRPr="008E12BF">
        <w:rPr>
          <w:szCs w:val="22"/>
        </w:rPr>
        <w:t>SCell</w:t>
      </w:r>
      <w:proofErr w:type="spellEnd"/>
      <w:r w:rsidRPr="008E12BF">
        <w:rPr>
          <w:szCs w:val="22"/>
        </w:rPr>
        <w:t xml:space="preserve"> any BWP parameter other than </w:t>
      </w:r>
      <w:proofErr w:type="spellStart"/>
      <w:r w:rsidRPr="008E12BF">
        <w:rPr>
          <w:i/>
          <w:iCs/>
          <w:szCs w:val="22"/>
        </w:rPr>
        <w:t>firstActiveDownlinkBWP</w:t>
      </w:r>
      <w:proofErr w:type="spellEnd"/>
      <w:r w:rsidRPr="008E12BF">
        <w:rPr>
          <w:i/>
          <w:iCs/>
          <w:szCs w:val="22"/>
        </w:rPr>
        <w:t>-Id</w:t>
      </w:r>
      <w:r w:rsidRPr="008E12BF">
        <w:rPr>
          <w:szCs w:val="22"/>
        </w:rPr>
        <w:t xml:space="preserve"> or </w:t>
      </w:r>
      <w:proofErr w:type="spellStart"/>
      <w:r w:rsidRPr="008E12BF">
        <w:rPr>
          <w:i/>
          <w:iCs/>
          <w:szCs w:val="22"/>
        </w:rPr>
        <w:t>firstActiveUplinkBWP</w:t>
      </w:r>
      <w:proofErr w:type="spellEnd"/>
      <w:r w:rsidRPr="008E12BF">
        <w:rPr>
          <w:i/>
          <w:iCs/>
          <w:szCs w:val="22"/>
        </w:rPr>
        <w:t>-Id</w:t>
      </w:r>
      <w:r w:rsidRPr="008E12BF">
        <w:rPr>
          <w:szCs w:val="22"/>
        </w:rPr>
        <w:t xml:space="preserve"> can be changed.</w:t>
      </w:r>
      <w:r>
        <w:rPr>
          <w:szCs w:val="22"/>
        </w:rPr>
        <w:t xml:space="preserve"> </w:t>
      </w:r>
      <w:r w:rsidR="00CE6EC3">
        <w:rPr>
          <w:szCs w:val="22"/>
        </w:rPr>
        <w:t xml:space="preserve">This can be realized by reconfiguring parameters the DL BWP or UL BWP on </w:t>
      </w:r>
      <w:proofErr w:type="spellStart"/>
      <w:r w:rsidR="00CE6EC3">
        <w:rPr>
          <w:szCs w:val="22"/>
        </w:rPr>
        <w:t>SCell</w:t>
      </w:r>
      <w:proofErr w:type="spellEnd"/>
      <w:r w:rsidR="00FF04C7">
        <w:rPr>
          <w:szCs w:val="22"/>
        </w:rPr>
        <w:t xml:space="preserve"> via the IE </w:t>
      </w:r>
      <w:r w:rsidR="00FF04C7" w:rsidRPr="00FF04C7">
        <w:rPr>
          <w:szCs w:val="22"/>
        </w:rPr>
        <w:t>BWP-Downlink</w:t>
      </w:r>
      <w:r w:rsidR="00FF04C7">
        <w:rPr>
          <w:szCs w:val="22"/>
        </w:rPr>
        <w:t xml:space="preserve"> or IE </w:t>
      </w:r>
      <w:r w:rsidR="00FF04C7" w:rsidRPr="00FF04C7">
        <w:rPr>
          <w:szCs w:val="22"/>
        </w:rPr>
        <w:t>BWP-</w:t>
      </w:r>
      <w:r w:rsidR="00FF04C7">
        <w:rPr>
          <w:szCs w:val="22"/>
        </w:rPr>
        <w:t>Up</w:t>
      </w:r>
      <w:r w:rsidR="00FF04C7" w:rsidRPr="00FF04C7">
        <w:rPr>
          <w:szCs w:val="22"/>
        </w:rPr>
        <w:t>link</w:t>
      </w:r>
      <w:r w:rsidR="00D71E8E">
        <w:rPr>
          <w:szCs w:val="22"/>
        </w:rPr>
        <w:t xml:space="preserve"> as shown below from TS 38.331:</w:t>
      </w:r>
    </w:p>
    <w:p w14:paraId="06FB5470" w14:textId="77777777" w:rsidR="000853FD" w:rsidRPr="000853FD" w:rsidRDefault="000853FD" w:rsidP="00737441">
      <w:pPr>
        <w:keepNext/>
        <w:pBdr>
          <w:top w:val="single" w:sz="4" w:space="1" w:color="auto"/>
        </w:pBdr>
        <w:autoSpaceDE w:val="0"/>
        <w:autoSpaceDN w:val="0"/>
        <w:spacing w:before="120"/>
        <w:ind w:left="1418" w:hanging="1418"/>
        <w:outlineLvl w:val="3"/>
        <w:rPr>
          <w:rFonts w:ascii="Arial" w:hAnsi="Arial" w:cs="Arial"/>
          <w:b/>
          <w:bCs/>
          <w:sz w:val="16"/>
          <w:szCs w:val="16"/>
          <w:lang w:eastAsia="ja-JP"/>
        </w:rPr>
      </w:pPr>
      <w:bookmarkStart w:id="3" w:name="_Toc60777177"/>
      <w:bookmarkStart w:id="4" w:name="_Toc60867958"/>
      <w:r w:rsidRPr="000853FD">
        <w:rPr>
          <w:rFonts w:ascii="Arial" w:hAnsi="Arial" w:cs="Arial"/>
          <w:b/>
          <w:bCs/>
          <w:sz w:val="16"/>
          <w:szCs w:val="16"/>
          <w:lang w:eastAsia="ja-JP"/>
        </w:rPr>
        <w:t xml:space="preserve">–                      </w:t>
      </w:r>
      <w:r w:rsidRPr="000853FD">
        <w:rPr>
          <w:rFonts w:ascii="Arial" w:hAnsi="Arial" w:cs="Arial"/>
          <w:b/>
          <w:bCs/>
          <w:i/>
          <w:iCs/>
          <w:sz w:val="16"/>
          <w:szCs w:val="16"/>
          <w:lang w:eastAsia="ja-JP"/>
        </w:rPr>
        <w:t>BWP-Downlink</w:t>
      </w:r>
      <w:bookmarkEnd w:id="3"/>
      <w:bookmarkEnd w:id="4"/>
    </w:p>
    <w:p w14:paraId="72E30196" w14:textId="77777777" w:rsidR="000853FD" w:rsidRPr="000853FD" w:rsidRDefault="000853FD" w:rsidP="000853FD">
      <w:pPr>
        <w:autoSpaceDE w:val="0"/>
        <w:autoSpaceDN w:val="0"/>
        <w:rPr>
          <w:rFonts w:eastAsia="Calibri"/>
          <w:sz w:val="16"/>
          <w:szCs w:val="16"/>
          <w:lang w:eastAsia="ja-JP"/>
        </w:rPr>
      </w:pPr>
      <w:r w:rsidRPr="000853FD">
        <w:rPr>
          <w:rFonts w:eastAsia="Calibri"/>
          <w:sz w:val="16"/>
          <w:szCs w:val="16"/>
          <w:lang w:eastAsia="ja-JP"/>
        </w:rPr>
        <w:t xml:space="preserve">The IE </w:t>
      </w:r>
      <w:r w:rsidRPr="000853FD">
        <w:rPr>
          <w:rFonts w:eastAsia="Calibri"/>
          <w:i/>
          <w:iCs/>
          <w:sz w:val="16"/>
          <w:szCs w:val="16"/>
          <w:lang w:eastAsia="ja-JP"/>
        </w:rPr>
        <w:t>BWP-Downlink</w:t>
      </w:r>
      <w:r w:rsidRPr="000853FD">
        <w:rPr>
          <w:rFonts w:eastAsia="Calibri"/>
          <w:sz w:val="16"/>
          <w:szCs w:val="16"/>
          <w:lang w:eastAsia="ja-JP"/>
        </w:rPr>
        <w:t xml:space="preserve"> is used to configure an additional downlink bandwidth part (not for the initial BWP).</w:t>
      </w:r>
    </w:p>
    <w:p w14:paraId="372EBCE4" w14:textId="05C05940" w:rsidR="000853FD" w:rsidRPr="000853FD" w:rsidRDefault="000853FD" w:rsidP="000853FD">
      <w:pPr>
        <w:keepNext/>
        <w:autoSpaceDE w:val="0"/>
        <w:autoSpaceDN w:val="0"/>
        <w:spacing w:before="60"/>
        <w:jc w:val="center"/>
        <w:rPr>
          <w:rFonts w:ascii="Arial" w:hAnsi="Arial" w:cs="Arial"/>
          <w:b/>
          <w:bCs/>
          <w:sz w:val="16"/>
          <w:szCs w:val="16"/>
          <w:lang w:eastAsia="ja-JP"/>
        </w:rPr>
      </w:pPr>
      <w:r w:rsidRPr="000853FD">
        <w:rPr>
          <w:rFonts w:ascii="Arial" w:hAnsi="Arial" w:cs="Arial"/>
          <w:b/>
          <w:bCs/>
          <w:i/>
          <w:iCs/>
          <w:sz w:val="16"/>
          <w:szCs w:val="16"/>
          <w:lang w:eastAsia="ja-JP"/>
        </w:rPr>
        <w:t>BWP-Downlink</w:t>
      </w:r>
      <w:r w:rsidRPr="000853FD">
        <w:rPr>
          <w:rFonts w:ascii="Arial" w:hAnsi="Arial" w:cs="Arial"/>
          <w:b/>
          <w:bCs/>
          <w:sz w:val="16"/>
          <w:szCs w:val="16"/>
          <w:lang w:eastAsia="ja-JP"/>
        </w:rPr>
        <w:t xml:space="preserve"> information element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</w:t>
      </w:r>
    </w:p>
    <w:p w14:paraId="17113B51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BWP-Downlink ::=                    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SEQUENCE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 {</w:t>
      </w:r>
    </w:p>
    <w:p w14:paraId="0B1D46A8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   bwp-Id                              BWP-Id,</w:t>
      </w:r>
    </w:p>
    <w:p w14:paraId="7D2C3F4B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    bwp-Common                          BWP-DownlinkCommon                                         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OPTIONAL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,   </w:t>
      </w:r>
      <w:r w:rsidRPr="000853FD">
        <w:rPr>
          <w:rFonts w:ascii="Courier New" w:hAnsi="Courier New" w:cs="Courier New"/>
          <w:color w:val="808080"/>
          <w:sz w:val="16"/>
          <w:szCs w:val="16"/>
          <w:lang w:eastAsia="sv-SE"/>
        </w:rPr>
        <w:t>-- Cond SetupOtherBWP</w:t>
      </w:r>
    </w:p>
    <w:p w14:paraId="25851D27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   bwp-Dedicated                       BWP-DownlinkDedicated                                      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OPTIONAL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,   </w:t>
      </w:r>
      <w:r w:rsidRPr="000853FD">
        <w:rPr>
          <w:rFonts w:ascii="Courier New" w:hAnsi="Courier New" w:cs="Courier New"/>
          <w:color w:val="808080"/>
          <w:sz w:val="16"/>
          <w:szCs w:val="16"/>
          <w:lang w:eastAsia="sv-SE"/>
        </w:rPr>
        <w:t>-- Cond SetupOtherBWP</w:t>
      </w:r>
    </w:p>
    <w:p w14:paraId="7EBC3336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   ...</w:t>
      </w:r>
    </w:p>
    <w:p w14:paraId="15059ADA" w14:textId="77777777" w:rsidR="000853FD" w:rsidRPr="000853FD" w:rsidRDefault="000853FD" w:rsidP="000853FD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}</w:t>
      </w:r>
    </w:p>
    <w:p w14:paraId="48B2D9E6" w14:textId="78924CF1" w:rsidR="000853FD" w:rsidRPr="000853FD" w:rsidRDefault="000853FD" w:rsidP="00737441">
      <w:pP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</w:t>
      </w:r>
      <w:r w:rsidRPr="000853FD">
        <w:rPr>
          <w:rFonts w:eastAsia="Calibri"/>
          <w:sz w:val="16"/>
          <w:szCs w:val="16"/>
          <w:lang w:eastAsia="ja-JP"/>
        </w:rPr>
        <w:t> </w:t>
      </w:r>
    </w:p>
    <w:p w14:paraId="751F1373" w14:textId="71546FC0" w:rsidR="000853FD" w:rsidRPr="000853FD" w:rsidRDefault="000853FD" w:rsidP="00737441">
      <w:pPr>
        <w:keepNext/>
        <w:autoSpaceDE w:val="0"/>
        <w:autoSpaceDN w:val="0"/>
        <w:spacing w:before="120"/>
        <w:outlineLvl w:val="3"/>
        <w:rPr>
          <w:rFonts w:ascii="Arial" w:hAnsi="Arial" w:cs="Arial"/>
          <w:sz w:val="16"/>
          <w:szCs w:val="16"/>
          <w:lang w:eastAsia="ja-JP"/>
        </w:rPr>
      </w:pPr>
      <w:bookmarkStart w:id="5" w:name="_Toc60777181"/>
      <w:bookmarkStart w:id="6" w:name="_Toc60867962"/>
    </w:p>
    <w:p w14:paraId="443A2334" w14:textId="77777777" w:rsidR="000853FD" w:rsidRPr="000853FD" w:rsidRDefault="000853FD" w:rsidP="000853FD">
      <w:pPr>
        <w:keepNext/>
        <w:autoSpaceDE w:val="0"/>
        <w:autoSpaceDN w:val="0"/>
        <w:spacing w:before="120"/>
        <w:ind w:left="1418" w:hanging="1418"/>
        <w:outlineLvl w:val="3"/>
        <w:rPr>
          <w:rFonts w:ascii="Arial" w:hAnsi="Arial" w:cs="Arial"/>
          <w:b/>
          <w:bCs/>
          <w:sz w:val="16"/>
          <w:szCs w:val="16"/>
          <w:lang w:eastAsia="ja-JP"/>
        </w:rPr>
      </w:pPr>
      <w:r w:rsidRPr="000853FD">
        <w:rPr>
          <w:rFonts w:ascii="Arial" w:hAnsi="Arial" w:cs="Arial"/>
          <w:b/>
          <w:bCs/>
          <w:sz w:val="16"/>
          <w:szCs w:val="16"/>
          <w:lang w:eastAsia="ja-JP"/>
        </w:rPr>
        <w:t xml:space="preserve">–                      </w:t>
      </w:r>
      <w:r w:rsidRPr="000853FD">
        <w:rPr>
          <w:rFonts w:ascii="Arial" w:hAnsi="Arial" w:cs="Arial"/>
          <w:b/>
          <w:bCs/>
          <w:i/>
          <w:iCs/>
          <w:sz w:val="16"/>
          <w:szCs w:val="16"/>
          <w:lang w:eastAsia="ja-JP"/>
        </w:rPr>
        <w:t>BWP-Uplink</w:t>
      </w:r>
      <w:bookmarkEnd w:id="5"/>
      <w:bookmarkEnd w:id="6"/>
    </w:p>
    <w:p w14:paraId="0565689F" w14:textId="77777777" w:rsidR="000853FD" w:rsidRPr="000853FD" w:rsidRDefault="000853FD" w:rsidP="000853FD">
      <w:pPr>
        <w:autoSpaceDE w:val="0"/>
        <w:autoSpaceDN w:val="0"/>
        <w:rPr>
          <w:rFonts w:eastAsia="Calibri"/>
          <w:sz w:val="16"/>
          <w:szCs w:val="16"/>
          <w:lang w:eastAsia="ja-JP"/>
        </w:rPr>
      </w:pPr>
      <w:r w:rsidRPr="000853FD">
        <w:rPr>
          <w:rFonts w:eastAsia="Calibri"/>
          <w:sz w:val="16"/>
          <w:szCs w:val="16"/>
          <w:lang w:eastAsia="ja-JP"/>
        </w:rPr>
        <w:t xml:space="preserve">The IE </w:t>
      </w:r>
      <w:r w:rsidRPr="000853FD">
        <w:rPr>
          <w:rFonts w:eastAsia="Calibri"/>
          <w:i/>
          <w:iCs/>
          <w:sz w:val="16"/>
          <w:szCs w:val="16"/>
          <w:lang w:eastAsia="ja-JP"/>
        </w:rPr>
        <w:t>BWP-Uplink</w:t>
      </w:r>
      <w:r w:rsidRPr="000853FD">
        <w:rPr>
          <w:rFonts w:eastAsia="Calibri"/>
          <w:sz w:val="16"/>
          <w:szCs w:val="16"/>
          <w:lang w:eastAsia="ja-JP"/>
        </w:rPr>
        <w:t xml:space="preserve"> is used to configure an additional uplink bandwidth part (not for the initial BWP).</w:t>
      </w:r>
    </w:p>
    <w:p w14:paraId="1E6B505D" w14:textId="77777777" w:rsidR="000853FD" w:rsidRPr="000853FD" w:rsidRDefault="000853FD" w:rsidP="000853FD">
      <w:pPr>
        <w:keepNext/>
        <w:autoSpaceDE w:val="0"/>
        <w:autoSpaceDN w:val="0"/>
        <w:spacing w:before="60"/>
        <w:jc w:val="center"/>
        <w:rPr>
          <w:rFonts w:ascii="Arial" w:hAnsi="Arial" w:cs="Arial"/>
          <w:b/>
          <w:bCs/>
          <w:sz w:val="16"/>
          <w:szCs w:val="16"/>
          <w:lang w:eastAsia="ja-JP"/>
        </w:rPr>
      </w:pPr>
      <w:r w:rsidRPr="000853FD">
        <w:rPr>
          <w:rFonts w:ascii="Arial" w:hAnsi="Arial" w:cs="Arial"/>
          <w:b/>
          <w:bCs/>
          <w:i/>
          <w:iCs/>
          <w:sz w:val="16"/>
          <w:szCs w:val="16"/>
          <w:lang w:eastAsia="ja-JP"/>
        </w:rPr>
        <w:t>BWP-Uplink</w:t>
      </w:r>
      <w:r w:rsidRPr="000853FD">
        <w:rPr>
          <w:rFonts w:ascii="Arial" w:hAnsi="Arial" w:cs="Arial"/>
          <w:b/>
          <w:bCs/>
          <w:sz w:val="16"/>
          <w:szCs w:val="16"/>
          <w:lang w:eastAsia="ja-JP"/>
        </w:rPr>
        <w:t xml:space="preserve"> information element</w:t>
      </w:r>
    </w:p>
    <w:p w14:paraId="445E2909" w14:textId="77777777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BWP-Uplink ::=                      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SEQUENCE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 {</w:t>
      </w:r>
    </w:p>
    <w:p w14:paraId="6B590812" w14:textId="77777777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   bwp-Id                              BWP-Id,</w:t>
      </w:r>
    </w:p>
    <w:p w14:paraId="51979785" w14:textId="77777777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    bwp-Common                          BWP-UplinkCommon                                            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OPTIONAL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,   </w:t>
      </w:r>
      <w:r w:rsidRPr="000853FD">
        <w:rPr>
          <w:rFonts w:ascii="Courier New" w:hAnsi="Courier New" w:cs="Courier New"/>
          <w:color w:val="808080"/>
          <w:sz w:val="16"/>
          <w:szCs w:val="16"/>
          <w:lang w:eastAsia="sv-SE"/>
        </w:rPr>
        <w:t>-- Cond SetupOtherBWP</w:t>
      </w:r>
    </w:p>
    <w:p w14:paraId="3F9CA242" w14:textId="77777777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    bwp-Dedicated                       BWP-UplinkDedicated                                         </w:t>
      </w:r>
      <w:r w:rsidRPr="000853FD">
        <w:rPr>
          <w:rFonts w:ascii="Courier New" w:hAnsi="Courier New" w:cs="Courier New"/>
          <w:color w:val="993366"/>
          <w:sz w:val="16"/>
          <w:szCs w:val="16"/>
          <w:lang w:eastAsia="sv-SE"/>
        </w:rPr>
        <w:t>OPTIONAL</w:t>
      </w: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 xml:space="preserve">,   </w:t>
      </w:r>
      <w:r w:rsidRPr="000853FD">
        <w:rPr>
          <w:rFonts w:ascii="Courier New" w:hAnsi="Courier New" w:cs="Courier New"/>
          <w:color w:val="808080"/>
          <w:sz w:val="16"/>
          <w:szCs w:val="16"/>
          <w:lang w:eastAsia="sv-SE"/>
        </w:rPr>
        <w:t>-- Cond SetupOtherBWP</w:t>
      </w:r>
    </w:p>
    <w:p w14:paraId="770988C1" w14:textId="77777777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    ...</w:t>
      </w:r>
    </w:p>
    <w:p w14:paraId="5FDBA80C" w14:textId="346EE8AD" w:rsidR="000853FD" w:rsidRPr="000853FD" w:rsidRDefault="000853FD" w:rsidP="00737441">
      <w:pPr>
        <w:pBdr>
          <w:bottom w:val="single" w:sz="4" w:space="1" w:color="auto"/>
        </w:pBdr>
        <w:shd w:val="clear" w:color="auto" w:fill="E6E6E6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eastAsia="sv-SE"/>
        </w:rPr>
      </w:pPr>
      <w:r w:rsidRPr="000853FD">
        <w:rPr>
          <w:rFonts w:ascii="Courier New" w:hAnsi="Courier New" w:cs="Courier New"/>
          <w:color w:val="000000"/>
          <w:sz w:val="16"/>
          <w:szCs w:val="16"/>
          <w:lang w:eastAsia="sv-SE"/>
        </w:rPr>
        <w:t>}</w:t>
      </w:r>
    </w:p>
    <w:p w14:paraId="08CAC594" w14:textId="77777777" w:rsidR="000853FD" w:rsidRPr="000853FD" w:rsidRDefault="000853FD" w:rsidP="000853FD">
      <w:pPr>
        <w:autoSpaceDE w:val="0"/>
        <w:autoSpaceDN w:val="0"/>
        <w:rPr>
          <w:rFonts w:eastAsia="Calibri"/>
          <w:lang w:eastAsia="ja-JP"/>
        </w:rPr>
      </w:pPr>
      <w:r w:rsidRPr="000853FD">
        <w:rPr>
          <w:rFonts w:eastAsia="Calibri"/>
          <w:lang w:eastAsia="ja-JP"/>
        </w:rPr>
        <w:t> </w:t>
      </w:r>
    </w:p>
    <w:p w14:paraId="704770D6" w14:textId="7988938B" w:rsidR="000853FD" w:rsidRPr="008E12BF" w:rsidRDefault="00D71E8E" w:rsidP="008E12BF">
      <w:pPr>
        <w:spacing w:before="120"/>
        <w:rPr>
          <w:szCs w:val="22"/>
          <w:lang w:val="en-US"/>
        </w:rPr>
      </w:pPr>
      <w:r>
        <w:rPr>
          <w:szCs w:val="22"/>
          <w:lang w:val="en-US"/>
        </w:rPr>
        <w:t xml:space="preserve">The delay to change any </w:t>
      </w:r>
      <w:r w:rsidR="00452343">
        <w:rPr>
          <w:szCs w:val="22"/>
          <w:lang w:val="en-US"/>
        </w:rPr>
        <w:t xml:space="preserve">BWP parameter other than </w:t>
      </w:r>
      <w:r w:rsidR="00452343" w:rsidRPr="008E12BF">
        <w:rPr>
          <w:szCs w:val="22"/>
        </w:rPr>
        <w:t xml:space="preserve">other than </w:t>
      </w:r>
      <w:proofErr w:type="spellStart"/>
      <w:r w:rsidR="00452343" w:rsidRPr="008E12BF">
        <w:rPr>
          <w:i/>
          <w:iCs/>
          <w:szCs w:val="22"/>
        </w:rPr>
        <w:t>firstActiveDownlinkBWP</w:t>
      </w:r>
      <w:proofErr w:type="spellEnd"/>
      <w:r w:rsidR="00452343" w:rsidRPr="008E12BF">
        <w:rPr>
          <w:i/>
          <w:iCs/>
          <w:szCs w:val="22"/>
        </w:rPr>
        <w:t>-Id</w:t>
      </w:r>
      <w:r w:rsidR="00452343" w:rsidRPr="008E12BF">
        <w:rPr>
          <w:szCs w:val="22"/>
        </w:rPr>
        <w:t xml:space="preserve"> or </w:t>
      </w:r>
      <w:proofErr w:type="spellStart"/>
      <w:r w:rsidR="00452343" w:rsidRPr="008E12BF">
        <w:rPr>
          <w:i/>
          <w:iCs/>
          <w:szCs w:val="22"/>
        </w:rPr>
        <w:t>firstActiveUplinkBWP</w:t>
      </w:r>
      <w:proofErr w:type="spellEnd"/>
      <w:r w:rsidR="00452343" w:rsidRPr="008E12BF">
        <w:rPr>
          <w:i/>
          <w:iCs/>
          <w:szCs w:val="22"/>
        </w:rPr>
        <w:t>-Id</w:t>
      </w:r>
      <w:r w:rsidR="00452343" w:rsidRPr="008E12BF">
        <w:rPr>
          <w:szCs w:val="22"/>
        </w:rPr>
        <w:t xml:space="preserve"> </w:t>
      </w:r>
      <w:r w:rsidR="00452343">
        <w:rPr>
          <w:szCs w:val="22"/>
          <w:lang w:val="en-US"/>
        </w:rPr>
        <w:t xml:space="preserve">on the </w:t>
      </w:r>
      <w:proofErr w:type="spellStart"/>
      <w:r w:rsidR="00452343">
        <w:rPr>
          <w:szCs w:val="22"/>
          <w:lang w:val="en-US"/>
        </w:rPr>
        <w:t>SCell</w:t>
      </w:r>
      <w:proofErr w:type="spellEnd"/>
      <w:r w:rsidR="00452343">
        <w:rPr>
          <w:szCs w:val="22"/>
          <w:lang w:val="en-US"/>
        </w:rPr>
        <w:t xml:space="preserve"> should be the same as defined for RRC</w:t>
      </w:r>
      <w:r w:rsidR="007D5F18">
        <w:rPr>
          <w:szCs w:val="22"/>
          <w:lang w:val="en-US"/>
        </w:rPr>
        <w:t xml:space="preserve"> </w:t>
      </w:r>
      <w:r w:rsidR="00452343">
        <w:rPr>
          <w:szCs w:val="22"/>
          <w:lang w:val="en-US"/>
        </w:rPr>
        <w:t>based</w:t>
      </w:r>
      <w:r w:rsidR="007D5F18">
        <w:rPr>
          <w:szCs w:val="22"/>
          <w:lang w:val="en-US"/>
        </w:rPr>
        <w:t xml:space="preserve"> BWP switching in section 8.6.3 in TS 38.133. We therefore suggest to define requirements on delay to change BWP parameter other than </w:t>
      </w:r>
      <w:r w:rsidR="007D5F18" w:rsidRPr="008E12BF">
        <w:rPr>
          <w:szCs w:val="22"/>
        </w:rPr>
        <w:t xml:space="preserve">other than </w:t>
      </w:r>
      <w:proofErr w:type="spellStart"/>
      <w:r w:rsidR="007D5F18" w:rsidRPr="008E12BF">
        <w:rPr>
          <w:i/>
          <w:iCs/>
          <w:szCs w:val="22"/>
        </w:rPr>
        <w:t>firstActiveDownlinkBWP</w:t>
      </w:r>
      <w:proofErr w:type="spellEnd"/>
      <w:r w:rsidR="007D5F18" w:rsidRPr="008E12BF">
        <w:rPr>
          <w:i/>
          <w:iCs/>
          <w:szCs w:val="22"/>
        </w:rPr>
        <w:t>-Id</w:t>
      </w:r>
      <w:r w:rsidR="007D5F18" w:rsidRPr="008E12BF">
        <w:rPr>
          <w:szCs w:val="22"/>
        </w:rPr>
        <w:t xml:space="preserve"> or </w:t>
      </w:r>
      <w:proofErr w:type="spellStart"/>
      <w:r w:rsidR="007D5F18" w:rsidRPr="008E12BF">
        <w:rPr>
          <w:i/>
          <w:iCs/>
          <w:szCs w:val="22"/>
        </w:rPr>
        <w:t>firstActiveUplinkBWP</w:t>
      </w:r>
      <w:proofErr w:type="spellEnd"/>
      <w:r w:rsidR="007D5F18" w:rsidRPr="008E12BF">
        <w:rPr>
          <w:i/>
          <w:iCs/>
          <w:szCs w:val="22"/>
        </w:rPr>
        <w:t>-Id</w:t>
      </w:r>
      <w:r w:rsidR="007D5F18" w:rsidRPr="008E12BF">
        <w:rPr>
          <w:szCs w:val="22"/>
        </w:rPr>
        <w:t xml:space="preserve"> </w:t>
      </w:r>
      <w:r w:rsidR="007D5F18">
        <w:rPr>
          <w:szCs w:val="22"/>
          <w:lang w:val="en-US"/>
        </w:rPr>
        <w:t xml:space="preserve">on the </w:t>
      </w:r>
      <w:proofErr w:type="spellStart"/>
      <w:r w:rsidR="007D5F18">
        <w:rPr>
          <w:szCs w:val="22"/>
          <w:lang w:val="en-US"/>
        </w:rPr>
        <w:t>SCell</w:t>
      </w:r>
      <w:proofErr w:type="spellEnd"/>
      <w:r w:rsidR="007D5F18">
        <w:rPr>
          <w:szCs w:val="22"/>
          <w:lang w:val="en-US"/>
        </w:rPr>
        <w:t xml:space="preserve"> based on the existing delay for RRC based BWP switching in section 8.6.3 in TS 38.133.</w:t>
      </w:r>
    </w:p>
    <w:p w14:paraId="7FC34C45" w14:textId="77777777" w:rsidR="00C93B99" w:rsidRPr="00F13794" w:rsidRDefault="00C93B99" w:rsidP="0053207D">
      <w:pPr>
        <w:rPr>
          <w:lang w:val="en-US"/>
        </w:rPr>
      </w:pP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1B4A9E9D" w14:textId="54077291" w:rsidR="0045587B" w:rsidRPr="007A3DED" w:rsidRDefault="0019407A" w:rsidP="0045587B">
      <w:pPr>
        <w:overflowPunct w:val="0"/>
        <w:autoSpaceDE w:val="0"/>
        <w:autoSpaceDN w:val="0"/>
        <w:adjustRightInd w:val="0"/>
        <w:spacing w:after="240"/>
        <w:textAlignment w:val="baseline"/>
        <w:rPr>
          <w:sz w:val="22"/>
          <w:szCs w:val="22"/>
          <w:lang w:val="en-US"/>
        </w:rPr>
      </w:pPr>
      <w:r w:rsidRPr="007A3DED">
        <w:rPr>
          <w:sz w:val="22"/>
          <w:szCs w:val="22"/>
          <w:lang w:val="en-US"/>
        </w:rPr>
        <w:t xml:space="preserve">In this paper we have analyzed the </w:t>
      </w:r>
      <w:r w:rsidR="007D5F18" w:rsidRPr="007A3DED">
        <w:rPr>
          <w:sz w:val="22"/>
          <w:szCs w:val="22"/>
          <w:lang w:val="en-US"/>
        </w:rPr>
        <w:t xml:space="preserve">requirements for RRC based active BWP switching for single CC and for multiple CCs while taking into account the RAN2 feedback/LS response. </w:t>
      </w:r>
      <w:r w:rsidRPr="007A3DED">
        <w:rPr>
          <w:sz w:val="22"/>
          <w:szCs w:val="22"/>
          <w:lang w:val="en-US"/>
        </w:rPr>
        <w:t>The main observation</w:t>
      </w:r>
      <w:r w:rsidR="00DA02DC">
        <w:rPr>
          <w:sz w:val="22"/>
          <w:szCs w:val="22"/>
          <w:lang w:val="en-US"/>
        </w:rPr>
        <w:t xml:space="preserve">s </w:t>
      </w:r>
      <w:r w:rsidRPr="007A3DED">
        <w:rPr>
          <w:sz w:val="22"/>
          <w:szCs w:val="22"/>
          <w:lang w:val="en-US"/>
        </w:rPr>
        <w:t xml:space="preserve">and proposals are as follows: </w:t>
      </w:r>
    </w:p>
    <w:p w14:paraId="3BF88790" w14:textId="4681EAA1" w:rsidR="007D5F18" w:rsidRPr="007A3DED" w:rsidRDefault="0045587B" w:rsidP="007D5F1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Observation 1: </w:t>
      </w:r>
      <w:r w:rsidR="00CB2DF4" w:rsidRPr="007A3DED">
        <w:rPr>
          <w:rFonts w:ascii="Times New Roman" w:hAnsi="Times New Roman"/>
          <w:sz w:val="20"/>
        </w:rPr>
        <w:t xml:space="preserve">RRC based BWP switching can change </w:t>
      </w:r>
      <w:r w:rsidR="007D5F18" w:rsidRPr="007A3DED">
        <w:rPr>
          <w:rFonts w:ascii="Times New Roman" w:hAnsi="Times New Roman"/>
          <w:sz w:val="20"/>
        </w:rPr>
        <w:t xml:space="preserve">any BWP parameter including </w:t>
      </w:r>
      <w:proofErr w:type="spellStart"/>
      <w:r w:rsidR="007D5F18" w:rsidRPr="007A3DED">
        <w:rPr>
          <w:rFonts w:ascii="Times New Roman" w:hAnsi="Times New Roman"/>
          <w:i/>
          <w:iCs/>
          <w:sz w:val="20"/>
        </w:rPr>
        <w:t>firstActiveDownlinkBWP</w:t>
      </w:r>
      <w:proofErr w:type="spellEnd"/>
      <w:r w:rsidR="007D5F18" w:rsidRPr="007A3DED">
        <w:rPr>
          <w:rFonts w:ascii="Times New Roman" w:hAnsi="Times New Roman"/>
          <w:i/>
          <w:iCs/>
          <w:sz w:val="20"/>
        </w:rPr>
        <w:t>-Id</w:t>
      </w:r>
      <w:r w:rsidR="007D5F18" w:rsidRPr="007A3DED">
        <w:rPr>
          <w:rFonts w:ascii="Times New Roman" w:hAnsi="Times New Roman"/>
          <w:sz w:val="20"/>
        </w:rPr>
        <w:t xml:space="preserve"> and </w:t>
      </w:r>
      <w:proofErr w:type="spellStart"/>
      <w:r w:rsidR="007D5F18" w:rsidRPr="007A3DED">
        <w:rPr>
          <w:rFonts w:ascii="Times New Roman" w:hAnsi="Times New Roman"/>
          <w:i/>
          <w:iCs/>
          <w:sz w:val="20"/>
        </w:rPr>
        <w:t>firstActiveUplinkBWP</w:t>
      </w:r>
      <w:proofErr w:type="spellEnd"/>
      <w:r w:rsidR="007D5F18" w:rsidRPr="007A3DED">
        <w:rPr>
          <w:rFonts w:ascii="Times New Roman" w:hAnsi="Times New Roman"/>
          <w:i/>
          <w:iCs/>
          <w:sz w:val="20"/>
        </w:rPr>
        <w:t>-Id</w:t>
      </w:r>
      <w:r w:rsidR="007D5F18" w:rsidRPr="007A3DED">
        <w:rPr>
          <w:rFonts w:ascii="Times New Roman" w:hAnsi="Times New Roman"/>
          <w:sz w:val="20"/>
        </w:rPr>
        <w:t xml:space="preserve"> </w:t>
      </w:r>
      <w:r w:rsidR="007F5F2E" w:rsidRPr="007A3DED">
        <w:rPr>
          <w:rFonts w:ascii="Times New Roman" w:hAnsi="Times New Roman"/>
          <w:sz w:val="20"/>
        </w:rPr>
        <w:t xml:space="preserve">on the </w:t>
      </w:r>
      <w:proofErr w:type="spellStart"/>
      <w:r w:rsidR="007F5F2E" w:rsidRPr="007A3DED">
        <w:rPr>
          <w:rFonts w:ascii="Times New Roman" w:hAnsi="Times New Roman"/>
          <w:sz w:val="20"/>
        </w:rPr>
        <w:t>SpCell</w:t>
      </w:r>
      <w:proofErr w:type="spellEnd"/>
      <w:r w:rsidR="007D5F18" w:rsidRPr="007A3DED">
        <w:rPr>
          <w:rFonts w:ascii="Times New Roman" w:hAnsi="Times New Roman"/>
          <w:sz w:val="20"/>
        </w:rPr>
        <w:t>.</w:t>
      </w:r>
    </w:p>
    <w:p w14:paraId="6328952D" w14:textId="5424CE20" w:rsidR="007F5F2E" w:rsidRPr="007A3DED" w:rsidRDefault="007F5F2E" w:rsidP="007F5F2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Observation 2: </w:t>
      </w:r>
      <w:r w:rsidRPr="007A3DED">
        <w:rPr>
          <w:rFonts w:ascii="Times New Roman" w:hAnsi="Times New Roman"/>
          <w:sz w:val="20"/>
        </w:rPr>
        <w:t xml:space="preserve">RRC based BWP switching can change any BWP parameter other than the </w:t>
      </w:r>
      <w:proofErr w:type="spellStart"/>
      <w:r w:rsidRPr="007A3DED">
        <w:rPr>
          <w:rFonts w:ascii="Times New Roman" w:hAnsi="Times New Roman"/>
          <w:i/>
          <w:iCs/>
          <w:sz w:val="20"/>
        </w:rPr>
        <w:t>firstActiveDownlinkBWP</w:t>
      </w:r>
      <w:proofErr w:type="spellEnd"/>
      <w:r w:rsidRPr="007A3DED">
        <w:rPr>
          <w:rFonts w:ascii="Times New Roman" w:hAnsi="Times New Roman"/>
          <w:i/>
          <w:iCs/>
          <w:sz w:val="20"/>
        </w:rPr>
        <w:t>-Id</w:t>
      </w:r>
      <w:r w:rsidRPr="007A3DED">
        <w:rPr>
          <w:rFonts w:ascii="Times New Roman" w:hAnsi="Times New Roman"/>
          <w:sz w:val="20"/>
        </w:rPr>
        <w:t xml:space="preserve"> or </w:t>
      </w:r>
      <w:proofErr w:type="spellStart"/>
      <w:r w:rsidRPr="007A3DED">
        <w:rPr>
          <w:rFonts w:ascii="Times New Roman" w:hAnsi="Times New Roman"/>
          <w:i/>
          <w:iCs/>
          <w:sz w:val="20"/>
        </w:rPr>
        <w:t>firstActiveUplinkBWP</w:t>
      </w:r>
      <w:proofErr w:type="spellEnd"/>
      <w:r w:rsidRPr="007A3DED">
        <w:rPr>
          <w:rFonts w:ascii="Times New Roman" w:hAnsi="Times New Roman"/>
          <w:i/>
          <w:iCs/>
          <w:sz w:val="20"/>
        </w:rPr>
        <w:t>-Id</w:t>
      </w:r>
      <w:r w:rsidRPr="007A3DED">
        <w:rPr>
          <w:rFonts w:ascii="Times New Roman" w:hAnsi="Times New Roman"/>
          <w:sz w:val="20"/>
        </w:rPr>
        <w:t xml:space="preserve"> on the </w:t>
      </w:r>
      <w:proofErr w:type="spellStart"/>
      <w:r w:rsidRPr="007A3DED">
        <w:rPr>
          <w:rFonts w:ascii="Times New Roman" w:hAnsi="Times New Roman"/>
          <w:sz w:val="20"/>
        </w:rPr>
        <w:t>SCell</w:t>
      </w:r>
      <w:proofErr w:type="spellEnd"/>
      <w:r w:rsidRPr="007A3DED">
        <w:rPr>
          <w:rFonts w:ascii="Times New Roman" w:hAnsi="Times New Roman"/>
          <w:sz w:val="20"/>
        </w:rPr>
        <w:t>.</w:t>
      </w:r>
    </w:p>
    <w:p w14:paraId="7CF49D0F" w14:textId="041E349F" w:rsidR="00C4540B" w:rsidRPr="007A3DED" w:rsidRDefault="00EA71E4" w:rsidP="00F22CE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>Proposal 1:</w:t>
      </w:r>
      <w:r w:rsidR="00F22CE5" w:rsidRPr="007A3DED">
        <w:rPr>
          <w:rFonts w:ascii="Times New Roman" w:hAnsi="Times New Roman"/>
          <w:b/>
          <w:bCs/>
          <w:sz w:val="20"/>
        </w:rPr>
        <w:t xml:space="preserve"> </w:t>
      </w:r>
      <w:r w:rsidR="00C4540B" w:rsidRPr="007A3DED">
        <w:rPr>
          <w:rFonts w:ascii="Times New Roman" w:hAnsi="Times New Roman"/>
          <w:sz w:val="20"/>
        </w:rPr>
        <w:t xml:space="preserve">RRC based BWP switch delay </w:t>
      </w:r>
      <w:r w:rsidR="00F22CE5" w:rsidRPr="007A3DED">
        <w:rPr>
          <w:rFonts w:ascii="Times New Roman" w:hAnsi="Times New Roman"/>
          <w:sz w:val="20"/>
        </w:rPr>
        <w:t xml:space="preserve">requirement for single CC </w:t>
      </w:r>
      <w:r w:rsidR="00C4540B" w:rsidRPr="007A3DED">
        <w:rPr>
          <w:rFonts w:ascii="Times New Roman" w:hAnsi="Times New Roman"/>
          <w:sz w:val="20"/>
        </w:rPr>
        <w:t xml:space="preserve">in section </w:t>
      </w:r>
      <w:r w:rsidR="00F22CE5" w:rsidRPr="007A3DED">
        <w:rPr>
          <w:rFonts w:ascii="Times New Roman" w:hAnsi="Times New Roman"/>
          <w:sz w:val="20"/>
        </w:rPr>
        <w:t xml:space="preserve">8.6.3 </w:t>
      </w:r>
      <w:r w:rsidR="00C4540B" w:rsidRPr="007A3DED">
        <w:rPr>
          <w:rFonts w:ascii="Times New Roman" w:hAnsi="Times New Roman"/>
          <w:sz w:val="20"/>
        </w:rPr>
        <w:t xml:space="preserve">is applicable to only </w:t>
      </w:r>
      <w:proofErr w:type="spellStart"/>
      <w:r w:rsidR="00C4540B" w:rsidRPr="007A3DED">
        <w:rPr>
          <w:rFonts w:ascii="Times New Roman" w:hAnsi="Times New Roman"/>
          <w:sz w:val="20"/>
        </w:rPr>
        <w:t>SpCell</w:t>
      </w:r>
      <w:proofErr w:type="spellEnd"/>
      <w:r w:rsidR="00F22CE5" w:rsidRPr="007A3DED">
        <w:rPr>
          <w:rFonts w:ascii="Times New Roman" w:hAnsi="Times New Roman"/>
          <w:sz w:val="20"/>
        </w:rPr>
        <w:t>.</w:t>
      </w:r>
    </w:p>
    <w:p w14:paraId="576EABE8" w14:textId="7636186F" w:rsidR="00F22CE5" w:rsidRPr="007A3DED" w:rsidRDefault="00F22CE5" w:rsidP="00F22CE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Proposal 2: </w:t>
      </w:r>
      <w:r w:rsidRPr="007A3DED">
        <w:rPr>
          <w:rFonts w:ascii="Times New Roman" w:hAnsi="Times New Roman"/>
          <w:sz w:val="20"/>
        </w:rPr>
        <w:t>Simultaneous RRC based BWP switch delay requirement for multiple CCs in section 8.6.3A.1 is removed.</w:t>
      </w:r>
    </w:p>
    <w:p w14:paraId="15D0A97C" w14:textId="51B3DEF3" w:rsidR="00F22CE5" w:rsidRPr="007A3DED" w:rsidRDefault="00F22CE5" w:rsidP="00F22CE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Proposal 3: </w:t>
      </w:r>
      <w:r w:rsidRPr="007A3DED">
        <w:rPr>
          <w:rFonts w:ascii="Times New Roman" w:hAnsi="Times New Roman"/>
          <w:sz w:val="20"/>
        </w:rPr>
        <w:t>Non-simultaneous RRC based BWP switch delay requirement for multiple CCs in section 8.6.3A.2 is</w:t>
      </w:r>
      <w:r w:rsidR="003F5E04" w:rsidRPr="007A3DED">
        <w:rPr>
          <w:rFonts w:ascii="Times New Roman" w:hAnsi="Times New Roman"/>
          <w:sz w:val="20"/>
        </w:rPr>
        <w:t xml:space="preserve"> </w:t>
      </w:r>
      <w:r w:rsidRPr="007A3DED">
        <w:rPr>
          <w:rFonts w:ascii="Times New Roman" w:hAnsi="Times New Roman"/>
          <w:sz w:val="20"/>
        </w:rPr>
        <w:t xml:space="preserve">applicable to only </w:t>
      </w:r>
      <w:proofErr w:type="spellStart"/>
      <w:r w:rsidRPr="007A3DED">
        <w:rPr>
          <w:rFonts w:ascii="Times New Roman" w:hAnsi="Times New Roman"/>
          <w:sz w:val="20"/>
        </w:rPr>
        <w:t>PCell</w:t>
      </w:r>
      <w:proofErr w:type="spellEnd"/>
      <w:r w:rsidRPr="007A3DED">
        <w:rPr>
          <w:rFonts w:ascii="Times New Roman" w:hAnsi="Times New Roman"/>
          <w:sz w:val="20"/>
        </w:rPr>
        <w:t xml:space="preserve"> and </w:t>
      </w:r>
      <w:proofErr w:type="spellStart"/>
      <w:r w:rsidRPr="007A3DED">
        <w:rPr>
          <w:rFonts w:ascii="Times New Roman" w:hAnsi="Times New Roman"/>
          <w:sz w:val="20"/>
        </w:rPr>
        <w:t>PSCell</w:t>
      </w:r>
      <w:proofErr w:type="spellEnd"/>
      <w:r w:rsidRPr="007A3DED">
        <w:rPr>
          <w:rFonts w:ascii="Times New Roman" w:hAnsi="Times New Roman"/>
          <w:sz w:val="20"/>
        </w:rPr>
        <w:t xml:space="preserve"> in NR-DC.</w:t>
      </w:r>
    </w:p>
    <w:p w14:paraId="1F301924" w14:textId="146DD6A8" w:rsidR="00F22CE5" w:rsidRPr="007A3DED" w:rsidRDefault="00F22CE5" w:rsidP="00F22CE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Proposal </w:t>
      </w:r>
      <w:r w:rsidR="00942AF7" w:rsidRPr="007A3DED">
        <w:rPr>
          <w:rFonts w:ascii="Times New Roman" w:hAnsi="Times New Roman"/>
          <w:b/>
          <w:bCs/>
          <w:sz w:val="20"/>
        </w:rPr>
        <w:t>4</w:t>
      </w:r>
      <w:r w:rsidRPr="007A3DED">
        <w:rPr>
          <w:rFonts w:ascii="Times New Roman" w:hAnsi="Times New Roman"/>
          <w:b/>
          <w:bCs/>
          <w:sz w:val="20"/>
        </w:rPr>
        <w:t xml:space="preserve">: </w:t>
      </w:r>
      <w:r w:rsidR="003F5E04" w:rsidRPr="007A3DED">
        <w:rPr>
          <w:rFonts w:ascii="Times New Roman" w:hAnsi="Times New Roman"/>
          <w:sz w:val="20"/>
        </w:rPr>
        <w:t xml:space="preserve">Define </w:t>
      </w:r>
      <w:r w:rsidR="00E8518E" w:rsidRPr="007A3DED">
        <w:rPr>
          <w:rFonts w:ascii="Times New Roman" w:hAnsi="Times New Roman"/>
          <w:sz w:val="20"/>
        </w:rPr>
        <w:t xml:space="preserve">delay requirements for changing any BWP parameter other than the </w:t>
      </w:r>
      <w:proofErr w:type="spellStart"/>
      <w:r w:rsidR="00E8518E" w:rsidRPr="007A3DED">
        <w:rPr>
          <w:rFonts w:ascii="Times New Roman" w:hAnsi="Times New Roman"/>
          <w:i/>
          <w:iCs/>
          <w:sz w:val="20"/>
        </w:rPr>
        <w:t>firstActiveDownlinkBWP</w:t>
      </w:r>
      <w:proofErr w:type="spellEnd"/>
      <w:r w:rsidR="00E8518E" w:rsidRPr="007A3DED">
        <w:rPr>
          <w:rFonts w:ascii="Times New Roman" w:hAnsi="Times New Roman"/>
          <w:i/>
          <w:iCs/>
          <w:sz w:val="20"/>
        </w:rPr>
        <w:t>-Id</w:t>
      </w:r>
      <w:r w:rsidR="00E8518E" w:rsidRPr="007A3DED">
        <w:rPr>
          <w:rFonts w:ascii="Times New Roman" w:hAnsi="Times New Roman"/>
          <w:sz w:val="20"/>
        </w:rPr>
        <w:t xml:space="preserve"> or </w:t>
      </w:r>
      <w:proofErr w:type="spellStart"/>
      <w:r w:rsidR="00E8518E" w:rsidRPr="007A3DED">
        <w:rPr>
          <w:rFonts w:ascii="Times New Roman" w:hAnsi="Times New Roman"/>
          <w:i/>
          <w:iCs/>
          <w:sz w:val="20"/>
        </w:rPr>
        <w:t>firstActiveUplinkBWP</w:t>
      </w:r>
      <w:proofErr w:type="spellEnd"/>
      <w:r w:rsidR="00E8518E" w:rsidRPr="007A3DED">
        <w:rPr>
          <w:rFonts w:ascii="Times New Roman" w:hAnsi="Times New Roman"/>
          <w:i/>
          <w:iCs/>
          <w:sz w:val="20"/>
        </w:rPr>
        <w:t>-Id</w:t>
      </w:r>
      <w:r w:rsidR="00E8518E" w:rsidRPr="007A3DED">
        <w:rPr>
          <w:rFonts w:ascii="Times New Roman" w:hAnsi="Times New Roman"/>
          <w:sz w:val="20"/>
        </w:rPr>
        <w:t xml:space="preserve"> </w:t>
      </w:r>
      <w:r w:rsidRPr="007A3DED">
        <w:rPr>
          <w:rFonts w:ascii="Times New Roman" w:hAnsi="Times New Roman"/>
          <w:sz w:val="20"/>
        </w:rPr>
        <w:t xml:space="preserve"> </w:t>
      </w:r>
      <w:r w:rsidR="00E8518E" w:rsidRPr="007A3DED">
        <w:rPr>
          <w:rFonts w:ascii="Times New Roman" w:hAnsi="Times New Roman"/>
          <w:sz w:val="20"/>
        </w:rPr>
        <w:t xml:space="preserve">via RRC </w:t>
      </w:r>
      <w:r w:rsidR="00942AF7" w:rsidRPr="007A3DED">
        <w:rPr>
          <w:rFonts w:ascii="Times New Roman" w:hAnsi="Times New Roman"/>
          <w:sz w:val="20"/>
        </w:rPr>
        <w:t xml:space="preserve">on </w:t>
      </w:r>
      <w:proofErr w:type="spellStart"/>
      <w:r w:rsidR="00942AF7" w:rsidRPr="007A3DED">
        <w:rPr>
          <w:rFonts w:ascii="Times New Roman" w:hAnsi="Times New Roman"/>
          <w:sz w:val="20"/>
        </w:rPr>
        <w:t>SCel</w:t>
      </w:r>
      <w:proofErr w:type="spellEnd"/>
      <w:r w:rsidRPr="007A3DED">
        <w:rPr>
          <w:rFonts w:ascii="Times New Roman" w:hAnsi="Times New Roman"/>
          <w:sz w:val="20"/>
        </w:rPr>
        <w:t>.</w:t>
      </w:r>
    </w:p>
    <w:p w14:paraId="0BDC13DC" w14:textId="5D1890B3" w:rsidR="00F22CE5" w:rsidRPr="007A3DED" w:rsidRDefault="00942AF7" w:rsidP="004E6D1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A3DED">
        <w:rPr>
          <w:rFonts w:ascii="Times New Roman" w:hAnsi="Times New Roman"/>
          <w:b/>
          <w:bCs/>
          <w:sz w:val="20"/>
        </w:rPr>
        <w:t xml:space="preserve">Proposal 5: </w:t>
      </w:r>
      <w:r w:rsidRPr="007A3DED">
        <w:rPr>
          <w:rFonts w:ascii="Times New Roman" w:hAnsi="Times New Roman"/>
          <w:sz w:val="20"/>
        </w:rPr>
        <w:t xml:space="preserve">The </w:t>
      </w:r>
      <w:r w:rsidR="00411020" w:rsidRPr="007A3DED">
        <w:rPr>
          <w:rFonts w:ascii="Times New Roman" w:hAnsi="Times New Roman"/>
          <w:sz w:val="20"/>
        </w:rPr>
        <w:t>delay r</w:t>
      </w:r>
      <w:r w:rsidRPr="007A3DED">
        <w:rPr>
          <w:rFonts w:ascii="Times New Roman" w:hAnsi="Times New Roman"/>
          <w:sz w:val="20"/>
        </w:rPr>
        <w:t xml:space="preserve">equirement in proposal </w:t>
      </w:r>
      <w:r w:rsidR="00411020" w:rsidRPr="007A3DED">
        <w:rPr>
          <w:rFonts w:ascii="Times New Roman" w:hAnsi="Times New Roman"/>
          <w:sz w:val="20"/>
        </w:rPr>
        <w:t>#4 is defined by reusing the delay defined in section 8.3.2</w:t>
      </w:r>
      <w:r w:rsidR="004E6D11" w:rsidRPr="007A3DED">
        <w:rPr>
          <w:rFonts w:ascii="Times New Roman" w:hAnsi="Times New Roman"/>
          <w:sz w:val="20"/>
        </w:rPr>
        <w:t>, TS 38.133</w:t>
      </w:r>
      <w:r w:rsidRPr="007A3DED">
        <w:rPr>
          <w:rFonts w:ascii="Times New Roman" w:hAnsi="Times New Roman"/>
          <w:sz w:val="20"/>
        </w:rPr>
        <w:t>.</w:t>
      </w:r>
    </w:p>
    <w:p w14:paraId="6F5BC675" w14:textId="55E8EC2E" w:rsidR="00986025" w:rsidRPr="007A3DED" w:rsidRDefault="0083516E" w:rsidP="00CF6543">
      <w:pPr>
        <w:spacing w:before="240" w:after="120"/>
        <w:rPr>
          <w:sz w:val="22"/>
          <w:szCs w:val="22"/>
        </w:rPr>
      </w:pPr>
      <w:bookmarkStart w:id="7" w:name="_Hlk23953093"/>
      <w:r w:rsidRPr="007A3DED">
        <w:rPr>
          <w:sz w:val="22"/>
          <w:szCs w:val="22"/>
        </w:rPr>
        <w:t xml:space="preserve">A </w:t>
      </w:r>
      <w:r w:rsidR="00986025" w:rsidRPr="007A3DED">
        <w:rPr>
          <w:sz w:val="22"/>
          <w:szCs w:val="22"/>
        </w:rPr>
        <w:t>CR to 38.1</w:t>
      </w:r>
      <w:r w:rsidRPr="007A3DED">
        <w:rPr>
          <w:sz w:val="22"/>
          <w:szCs w:val="22"/>
        </w:rPr>
        <w:t>33</w:t>
      </w:r>
      <w:r w:rsidR="00986025" w:rsidRPr="007A3DED">
        <w:rPr>
          <w:sz w:val="22"/>
          <w:szCs w:val="22"/>
        </w:rPr>
        <w:t xml:space="preserve"> </w:t>
      </w:r>
      <w:r w:rsidRPr="007A3DED">
        <w:rPr>
          <w:sz w:val="22"/>
          <w:szCs w:val="22"/>
        </w:rPr>
        <w:t>the above proposals</w:t>
      </w:r>
      <w:r w:rsidR="0019407A" w:rsidRPr="007A3DED">
        <w:rPr>
          <w:sz w:val="22"/>
          <w:szCs w:val="22"/>
        </w:rPr>
        <w:t xml:space="preserve"> </w:t>
      </w:r>
      <w:r w:rsidR="003B1C7F" w:rsidRPr="007A3DED">
        <w:rPr>
          <w:sz w:val="22"/>
          <w:szCs w:val="22"/>
        </w:rPr>
        <w:t xml:space="preserve">is </w:t>
      </w:r>
      <w:r w:rsidR="00986025" w:rsidRPr="007A3DED">
        <w:rPr>
          <w:sz w:val="22"/>
          <w:szCs w:val="22"/>
        </w:rPr>
        <w:t>provided in [</w:t>
      </w:r>
      <w:r w:rsidRPr="007A3DED">
        <w:rPr>
          <w:sz w:val="22"/>
          <w:szCs w:val="22"/>
        </w:rPr>
        <w:t>2</w:t>
      </w:r>
      <w:r w:rsidR="00986025" w:rsidRPr="007A3DED">
        <w:rPr>
          <w:sz w:val="22"/>
          <w:szCs w:val="22"/>
        </w:rPr>
        <w:t>]</w:t>
      </w:r>
      <w:r w:rsidR="00530EEA" w:rsidRPr="007A3DED">
        <w:rPr>
          <w:sz w:val="22"/>
          <w:szCs w:val="22"/>
        </w:rPr>
        <w:t>.</w:t>
      </w:r>
    </w:p>
    <w:bookmarkEnd w:id="7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255FFBD9" w14:textId="485F9A86" w:rsidR="00CB4761" w:rsidRDefault="00CB4761" w:rsidP="0045587B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CB4761">
        <w:rPr>
          <w:rFonts w:ascii="Times New Roman" w:hAnsi="Times New Roman"/>
          <w:sz w:val="20"/>
        </w:rPr>
        <w:t>R2-2102476</w:t>
      </w:r>
      <w:r>
        <w:rPr>
          <w:rFonts w:ascii="Times New Roman" w:hAnsi="Times New Roman"/>
          <w:sz w:val="20"/>
        </w:rPr>
        <w:t xml:space="preserve">, </w:t>
      </w:r>
      <w:r w:rsidRPr="00CB4761">
        <w:rPr>
          <w:rFonts w:ascii="Times New Roman" w:hAnsi="Times New Roman"/>
          <w:sz w:val="20"/>
        </w:rPr>
        <w:t>LS Reply on RRC based BWP switch</w:t>
      </w:r>
      <w:r>
        <w:rPr>
          <w:rFonts w:ascii="Times New Roman" w:hAnsi="Times New Roman"/>
          <w:sz w:val="20"/>
        </w:rPr>
        <w:t>, RAN2 LS</w:t>
      </w:r>
    </w:p>
    <w:p w14:paraId="42DE86CE" w14:textId="1C38BDCD" w:rsidR="0045587B" w:rsidRPr="0045587B" w:rsidRDefault="00306560" w:rsidP="0045587B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41B71">
        <w:rPr>
          <w:rFonts w:ascii="Times New Roman" w:hAnsi="Times New Roman"/>
          <w:sz w:val="20"/>
        </w:rPr>
        <w:t>R4-21</w:t>
      </w:r>
      <w:r w:rsidR="0005738B">
        <w:rPr>
          <w:rFonts w:ascii="Times New Roman" w:hAnsi="Times New Roman"/>
          <w:sz w:val="20"/>
        </w:rPr>
        <w:t>071</w:t>
      </w:r>
      <w:r w:rsidR="00232216">
        <w:rPr>
          <w:rFonts w:ascii="Times New Roman" w:hAnsi="Times New Roman"/>
          <w:sz w:val="20"/>
        </w:rPr>
        <w:t>55</w:t>
      </w:r>
      <w:r>
        <w:rPr>
          <w:rFonts w:ascii="Times New Roman" w:hAnsi="Times New Roman"/>
          <w:sz w:val="20"/>
        </w:rPr>
        <w:t xml:space="preserve">, </w:t>
      </w:r>
      <w:r w:rsidR="00870F0D" w:rsidRPr="00870F0D">
        <w:rPr>
          <w:rFonts w:ascii="Times New Roman" w:hAnsi="Times New Roman"/>
          <w:sz w:val="20"/>
        </w:rPr>
        <w:t>Correction to RRC based BWP change delay requirements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Ericsso</w:t>
      </w:r>
      <w:r w:rsidR="0045587B">
        <w:rPr>
          <w:rFonts w:ascii="Times New Roman" w:hAnsi="Times New Roman"/>
          <w:sz w:val="20"/>
        </w:rPr>
        <w:t>n</w:t>
      </w:r>
    </w:p>
    <w:sectPr w:rsidR="0045587B" w:rsidRPr="0045587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BF154" w14:textId="77777777" w:rsidR="00085765" w:rsidRDefault="00085765">
      <w:r>
        <w:separator/>
      </w:r>
    </w:p>
  </w:endnote>
  <w:endnote w:type="continuationSeparator" w:id="0">
    <w:p w14:paraId="745DD1D4" w14:textId="77777777" w:rsidR="00085765" w:rsidRDefault="000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DED8" w14:textId="77777777" w:rsidR="00085765" w:rsidRDefault="00085765">
      <w:r>
        <w:separator/>
      </w:r>
    </w:p>
  </w:footnote>
  <w:footnote w:type="continuationSeparator" w:id="0">
    <w:p w14:paraId="0FAEE7E9" w14:textId="77777777" w:rsidR="00085765" w:rsidRDefault="00085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43CF7"/>
    <w:multiLevelType w:val="hybridMultilevel"/>
    <w:tmpl w:val="1C7AC148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D1756C"/>
    <w:multiLevelType w:val="hybridMultilevel"/>
    <w:tmpl w:val="ED2413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A51A0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626AE4"/>
    <w:multiLevelType w:val="hybridMultilevel"/>
    <w:tmpl w:val="AB5EA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2532C"/>
    <w:multiLevelType w:val="hybridMultilevel"/>
    <w:tmpl w:val="E6606D2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BD4C47"/>
    <w:multiLevelType w:val="hybridMultilevel"/>
    <w:tmpl w:val="15D878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1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DC07B3"/>
    <w:multiLevelType w:val="hybridMultilevel"/>
    <w:tmpl w:val="5524B6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A7074C7"/>
    <w:multiLevelType w:val="hybridMultilevel"/>
    <w:tmpl w:val="7798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"/>
  </w:num>
  <w:num w:numId="3">
    <w:abstractNumId w:val="38"/>
  </w:num>
  <w:num w:numId="4">
    <w:abstractNumId w:val="1"/>
  </w:num>
  <w:num w:numId="5">
    <w:abstractNumId w:val="21"/>
  </w:num>
  <w:num w:numId="6">
    <w:abstractNumId w:val="37"/>
  </w:num>
  <w:num w:numId="7">
    <w:abstractNumId w:val="30"/>
  </w:num>
  <w:num w:numId="8">
    <w:abstractNumId w:val="28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2"/>
  </w:num>
  <w:num w:numId="14">
    <w:abstractNumId w:val="3"/>
  </w:num>
  <w:num w:numId="15">
    <w:abstractNumId w:val="2"/>
  </w:num>
  <w:num w:numId="16">
    <w:abstractNumId w:val="29"/>
  </w:num>
  <w:num w:numId="17">
    <w:abstractNumId w:val="7"/>
  </w:num>
  <w:num w:numId="18">
    <w:abstractNumId w:val="36"/>
  </w:num>
  <w:num w:numId="19">
    <w:abstractNumId w:val="26"/>
  </w:num>
  <w:num w:numId="20">
    <w:abstractNumId w:val="25"/>
  </w:num>
  <w:num w:numId="21">
    <w:abstractNumId w:val="23"/>
  </w:num>
  <w:num w:numId="22">
    <w:abstractNumId w:val="27"/>
  </w:num>
  <w:num w:numId="23">
    <w:abstractNumId w:val="14"/>
  </w:num>
  <w:num w:numId="24">
    <w:abstractNumId w:val="31"/>
  </w:num>
  <w:num w:numId="25">
    <w:abstractNumId w:val="20"/>
  </w:num>
  <w:num w:numId="26">
    <w:abstractNumId w:val="17"/>
  </w:num>
  <w:num w:numId="27">
    <w:abstractNumId w:val="11"/>
  </w:num>
  <w:num w:numId="28">
    <w:abstractNumId w:val="24"/>
  </w:num>
  <w:num w:numId="29">
    <w:abstractNumId w:val="16"/>
  </w:num>
  <w:num w:numId="30">
    <w:abstractNumId w:val="35"/>
  </w:num>
  <w:num w:numId="31">
    <w:abstractNumId w:val="34"/>
  </w:num>
  <w:num w:numId="32">
    <w:abstractNumId w:val="9"/>
  </w:num>
  <w:num w:numId="33">
    <w:abstractNumId w:val="19"/>
  </w:num>
  <w:num w:numId="34">
    <w:abstractNumId w:val="13"/>
  </w:num>
  <w:num w:numId="35">
    <w:abstractNumId w:val="0"/>
  </w:num>
  <w:num w:numId="36">
    <w:abstractNumId w:val="22"/>
  </w:num>
  <w:num w:numId="37">
    <w:abstractNumId w:val="18"/>
  </w:num>
  <w:num w:numId="38">
    <w:abstractNumId w:val="32"/>
  </w:num>
  <w:num w:numId="3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A82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52"/>
    <w:rsid w:val="0002639E"/>
    <w:rsid w:val="0002674F"/>
    <w:rsid w:val="00026BFC"/>
    <w:rsid w:val="000279EC"/>
    <w:rsid w:val="00030A91"/>
    <w:rsid w:val="00031794"/>
    <w:rsid w:val="000319F0"/>
    <w:rsid w:val="00032E6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739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38B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3FD"/>
    <w:rsid w:val="0008576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3F49"/>
    <w:rsid w:val="00095F6B"/>
    <w:rsid w:val="000962F9"/>
    <w:rsid w:val="00096781"/>
    <w:rsid w:val="00096D55"/>
    <w:rsid w:val="00096DEF"/>
    <w:rsid w:val="00097160"/>
    <w:rsid w:val="00097E4D"/>
    <w:rsid w:val="000A05DD"/>
    <w:rsid w:val="000A0788"/>
    <w:rsid w:val="000A07F2"/>
    <w:rsid w:val="000A0F10"/>
    <w:rsid w:val="000A12DD"/>
    <w:rsid w:val="000A1EA8"/>
    <w:rsid w:val="000A2D20"/>
    <w:rsid w:val="000A40B8"/>
    <w:rsid w:val="000A4B84"/>
    <w:rsid w:val="000A5D5A"/>
    <w:rsid w:val="000A6096"/>
    <w:rsid w:val="000A60DD"/>
    <w:rsid w:val="000A6394"/>
    <w:rsid w:val="000A6F55"/>
    <w:rsid w:val="000A7733"/>
    <w:rsid w:val="000A7C48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104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E7"/>
    <w:rsid w:val="000D53FA"/>
    <w:rsid w:val="000D5A61"/>
    <w:rsid w:val="000D63A5"/>
    <w:rsid w:val="000D6B3F"/>
    <w:rsid w:val="000D6BC4"/>
    <w:rsid w:val="000D73CC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0A2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50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5B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2A3A"/>
    <w:rsid w:val="00173053"/>
    <w:rsid w:val="001733B8"/>
    <w:rsid w:val="001741DF"/>
    <w:rsid w:val="001766AD"/>
    <w:rsid w:val="001772CF"/>
    <w:rsid w:val="001800C0"/>
    <w:rsid w:val="001808A4"/>
    <w:rsid w:val="0018095A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07A"/>
    <w:rsid w:val="00195E3A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3C96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50"/>
    <w:rsid w:val="001E41F3"/>
    <w:rsid w:val="001E43F2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1F1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B26"/>
    <w:rsid w:val="00211C5A"/>
    <w:rsid w:val="00212B10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16C"/>
    <w:rsid w:val="0022522D"/>
    <w:rsid w:val="00225F04"/>
    <w:rsid w:val="0022788F"/>
    <w:rsid w:val="00227F9C"/>
    <w:rsid w:val="00232216"/>
    <w:rsid w:val="00232834"/>
    <w:rsid w:val="00232C37"/>
    <w:rsid w:val="00232F5E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18FA"/>
    <w:rsid w:val="002523D3"/>
    <w:rsid w:val="0025273A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1CB"/>
    <w:rsid w:val="00280AA1"/>
    <w:rsid w:val="00281CD8"/>
    <w:rsid w:val="00281D97"/>
    <w:rsid w:val="00281DF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0E3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4721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463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5F0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5E04"/>
    <w:rsid w:val="003F62C6"/>
    <w:rsid w:val="0040016B"/>
    <w:rsid w:val="00400CDA"/>
    <w:rsid w:val="004011D8"/>
    <w:rsid w:val="0040163E"/>
    <w:rsid w:val="004033D5"/>
    <w:rsid w:val="004037E8"/>
    <w:rsid w:val="004040A8"/>
    <w:rsid w:val="004041C4"/>
    <w:rsid w:val="004073D0"/>
    <w:rsid w:val="004109D2"/>
    <w:rsid w:val="00410BE5"/>
    <w:rsid w:val="00410C28"/>
    <w:rsid w:val="00410D44"/>
    <w:rsid w:val="00411020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8E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46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2343"/>
    <w:rsid w:val="00453394"/>
    <w:rsid w:val="00453FE3"/>
    <w:rsid w:val="00454ABC"/>
    <w:rsid w:val="00454CCC"/>
    <w:rsid w:val="00455190"/>
    <w:rsid w:val="00455328"/>
    <w:rsid w:val="0045587B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5316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D11"/>
    <w:rsid w:val="004E6E42"/>
    <w:rsid w:val="004E7520"/>
    <w:rsid w:val="004F0400"/>
    <w:rsid w:val="004F0542"/>
    <w:rsid w:val="004F1436"/>
    <w:rsid w:val="004F191F"/>
    <w:rsid w:val="004F1A59"/>
    <w:rsid w:val="004F1F01"/>
    <w:rsid w:val="004F247F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18A"/>
    <w:rsid w:val="0051681B"/>
    <w:rsid w:val="005204C1"/>
    <w:rsid w:val="0052120D"/>
    <w:rsid w:val="0052122E"/>
    <w:rsid w:val="00521A50"/>
    <w:rsid w:val="00521C8C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59D0"/>
    <w:rsid w:val="00536350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3A1C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932"/>
    <w:rsid w:val="005D0945"/>
    <w:rsid w:val="005D1F34"/>
    <w:rsid w:val="005D2306"/>
    <w:rsid w:val="005D286B"/>
    <w:rsid w:val="005D33FF"/>
    <w:rsid w:val="005D36E6"/>
    <w:rsid w:val="005D3823"/>
    <w:rsid w:val="005D3BC5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0E0"/>
    <w:rsid w:val="005E72EE"/>
    <w:rsid w:val="005E7440"/>
    <w:rsid w:val="005E75F4"/>
    <w:rsid w:val="005F01AF"/>
    <w:rsid w:val="005F09C6"/>
    <w:rsid w:val="005F19AE"/>
    <w:rsid w:val="005F1C47"/>
    <w:rsid w:val="005F3A0F"/>
    <w:rsid w:val="005F4331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865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4EF6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981"/>
    <w:rsid w:val="00694C74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5A54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32C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4C80"/>
    <w:rsid w:val="006C60F5"/>
    <w:rsid w:val="006C715A"/>
    <w:rsid w:val="006D01D3"/>
    <w:rsid w:val="006D1C90"/>
    <w:rsid w:val="006D1CDA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478"/>
    <w:rsid w:val="006E2764"/>
    <w:rsid w:val="006E39ED"/>
    <w:rsid w:val="006E3F87"/>
    <w:rsid w:val="006E4680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441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26D"/>
    <w:rsid w:val="007463AD"/>
    <w:rsid w:val="007469F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4F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3BF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3DED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5F18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BF2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5F2E"/>
    <w:rsid w:val="007F7200"/>
    <w:rsid w:val="007F7C4C"/>
    <w:rsid w:val="007F7C71"/>
    <w:rsid w:val="00800C5B"/>
    <w:rsid w:val="00801717"/>
    <w:rsid w:val="0080296D"/>
    <w:rsid w:val="00802E97"/>
    <w:rsid w:val="00802EB6"/>
    <w:rsid w:val="008036C0"/>
    <w:rsid w:val="00803783"/>
    <w:rsid w:val="00804F83"/>
    <w:rsid w:val="00805214"/>
    <w:rsid w:val="0080593B"/>
    <w:rsid w:val="00805A5B"/>
    <w:rsid w:val="008066FB"/>
    <w:rsid w:val="008071B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1B97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16E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4D51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0F0D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8EE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2BF"/>
    <w:rsid w:val="008E1362"/>
    <w:rsid w:val="008E1D8C"/>
    <w:rsid w:val="008E1E90"/>
    <w:rsid w:val="008E28E4"/>
    <w:rsid w:val="008E3958"/>
    <w:rsid w:val="008E3C70"/>
    <w:rsid w:val="008E4068"/>
    <w:rsid w:val="008E48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871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16E4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0AC"/>
    <w:rsid w:val="0093736D"/>
    <w:rsid w:val="00940C82"/>
    <w:rsid w:val="00940EA4"/>
    <w:rsid w:val="00941C8B"/>
    <w:rsid w:val="00942AF7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502E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75B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4F"/>
    <w:rsid w:val="009777D9"/>
    <w:rsid w:val="009811CE"/>
    <w:rsid w:val="0098188F"/>
    <w:rsid w:val="009828FE"/>
    <w:rsid w:val="00982AD2"/>
    <w:rsid w:val="00982BD6"/>
    <w:rsid w:val="009837FE"/>
    <w:rsid w:val="00983A86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D4C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E01"/>
    <w:rsid w:val="009D2E10"/>
    <w:rsid w:val="009D4B37"/>
    <w:rsid w:val="009D4CCB"/>
    <w:rsid w:val="009D4D05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345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B57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B9C"/>
    <w:rsid w:val="00AB236B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DC0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8D8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58E3"/>
    <w:rsid w:val="00B5634B"/>
    <w:rsid w:val="00B57761"/>
    <w:rsid w:val="00B612FD"/>
    <w:rsid w:val="00B61F2D"/>
    <w:rsid w:val="00B63642"/>
    <w:rsid w:val="00B63AE4"/>
    <w:rsid w:val="00B6418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C8F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0CF1"/>
    <w:rsid w:val="00B81580"/>
    <w:rsid w:val="00B8216F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73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B7F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258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7F37"/>
    <w:rsid w:val="00BD09F5"/>
    <w:rsid w:val="00BD2533"/>
    <w:rsid w:val="00BD279D"/>
    <w:rsid w:val="00BD3926"/>
    <w:rsid w:val="00BD3FBB"/>
    <w:rsid w:val="00BD41C1"/>
    <w:rsid w:val="00BD4ADD"/>
    <w:rsid w:val="00BD5A74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0E12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540B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99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2DF4"/>
    <w:rsid w:val="00CB35B7"/>
    <w:rsid w:val="00CB3DB1"/>
    <w:rsid w:val="00CB4761"/>
    <w:rsid w:val="00CB4DCD"/>
    <w:rsid w:val="00CB5FCC"/>
    <w:rsid w:val="00CB610D"/>
    <w:rsid w:val="00CB644C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E6EC3"/>
    <w:rsid w:val="00CE6F07"/>
    <w:rsid w:val="00CE7A1D"/>
    <w:rsid w:val="00CF2DC2"/>
    <w:rsid w:val="00CF35F6"/>
    <w:rsid w:val="00CF37B5"/>
    <w:rsid w:val="00CF41DE"/>
    <w:rsid w:val="00CF6543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4E6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1E8E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2DC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2F3D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1978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010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4D0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4D93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18E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1E4"/>
    <w:rsid w:val="00EA7DCD"/>
    <w:rsid w:val="00EB0305"/>
    <w:rsid w:val="00EB054D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23B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0949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794"/>
    <w:rsid w:val="00F14BCF"/>
    <w:rsid w:val="00F14F8E"/>
    <w:rsid w:val="00F1568B"/>
    <w:rsid w:val="00F1647C"/>
    <w:rsid w:val="00F1773B"/>
    <w:rsid w:val="00F20AF0"/>
    <w:rsid w:val="00F212F3"/>
    <w:rsid w:val="00F214CC"/>
    <w:rsid w:val="00F215B6"/>
    <w:rsid w:val="00F219E1"/>
    <w:rsid w:val="00F21EA8"/>
    <w:rsid w:val="00F22B94"/>
    <w:rsid w:val="00F22CE5"/>
    <w:rsid w:val="00F23507"/>
    <w:rsid w:val="00F2451F"/>
    <w:rsid w:val="00F2456B"/>
    <w:rsid w:val="00F2502D"/>
    <w:rsid w:val="00F25D98"/>
    <w:rsid w:val="00F264B8"/>
    <w:rsid w:val="00F27D6A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34"/>
    <w:rsid w:val="00F67DDA"/>
    <w:rsid w:val="00F706B9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1983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58FD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0F5C"/>
    <w:rsid w:val="00FC1106"/>
    <w:rsid w:val="00FC3019"/>
    <w:rsid w:val="00FC36B9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2E1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4C7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944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50</cp:revision>
  <cp:lastPrinted>1899-12-31T23:00:00Z</cp:lastPrinted>
  <dcterms:created xsi:type="dcterms:W3CDTF">2021-03-31T14:11:00Z</dcterms:created>
  <dcterms:modified xsi:type="dcterms:W3CDTF">2021-04-02T18:26:00Z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